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76068758"/>
        <w:docPartObj>
          <w:docPartGallery w:val="Cover Pages"/>
          <w:docPartUnique/>
        </w:docPartObj>
      </w:sdtPr>
      <w:sdtEndPr/>
      <w:sdtContent>
        <w:p w14:paraId="4F3A1DC8" w14:textId="77777777" w:rsidR="00323AAD" w:rsidRDefault="00323AAD"/>
        <w:p w14:paraId="03955129" w14:textId="77777777" w:rsidR="00323AAD" w:rsidRDefault="00323AAD" w:rsidP="00323AAD">
          <w:pPr>
            <w:pStyle w:val="Ingetavstnd"/>
            <w:spacing w:before="40" w:after="40"/>
            <w:rPr>
              <w:caps/>
              <w:color w:val="215868" w:themeColor="accent5" w:themeShade="80"/>
              <w:sz w:val="28"/>
              <w:szCs w:val="28"/>
            </w:rPr>
          </w:pPr>
        </w:p>
        <w:p w14:paraId="12573AA9" w14:textId="77777777" w:rsidR="00323AAD" w:rsidRPr="007F64C7" w:rsidRDefault="00323AAD" w:rsidP="007F64C7">
          <w:pPr>
            <w:pStyle w:val="Namnpdokumentet"/>
          </w:pPr>
          <w:r w:rsidRPr="007F64C7">
            <w:t xml:space="preserve"> </w:t>
          </w:r>
          <w:r w:rsidR="00713749">
            <w:t>Riktlinje</w:t>
          </w:r>
          <w:r w:rsidR="00D75AB6">
            <w:t xml:space="preserve"> för</w:t>
          </w:r>
          <w:r w:rsidR="00DA2845">
            <w:t xml:space="preserve"> attest</w:t>
          </w:r>
        </w:p>
        <w:tbl>
          <w:tblPr>
            <w:tblStyle w:val="Tabellrutnt"/>
            <w:tblpPr w:leftFromText="141" w:rightFromText="141" w:vertAnchor="text" w:horzAnchor="margin" w:tblpY="62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030"/>
          </w:tblGrid>
          <w:tr w:rsidR="007F64C7" w14:paraId="29C00176" w14:textId="77777777" w:rsidTr="007F64C7">
            <w:trPr>
              <w:trHeight w:val="536"/>
            </w:trPr>
            <w:tc>
              <w:tcPr>
                <w:tcW w:w="2340" w:type="dxa"/>
                <w:vAlign w:val="center"/>
              </w:tcPr>
              <w:p w14:paraId="377211AE" w14:textId="77777777" w:rsidR="007F64C7" w:rsidRPr="00323AAD" w:rsidRDefault="007F64C7" w:rsidP="007F64C7">
                <w:pPr>
                  <w:rPr>
                    <w:rFonts w:ascii="Arial" w:hAnsi="Arial" w:cs="Arial"/>
                    <w:sz w:val="20"/>
                    <w:szCs w:val="20"/>
                  </w:rPr>
                </w:pPr>
                <w:r w:rsidRPr="00323AAD">
                  <w:rPr>
                    <w:rFonts w:ascii="Arial" w:hAnsi="Arial" w:cs="Arial"/>
                    <w:sz w:val="20"/>
                    <w:szCs w:val="20"/>
                  </w:rPr>
                  <w:t>Dokumenttyp:</w:t>
                </w:r>
              </w:p>
            </w:tc>
            <w:tc>
              <w:tcPr>
                <w:tcW w:w="5030" w:type="dxa"/>
                <w:vAlign w:val="center"/>
              </w:tcPr>
              <w:p w14:paraId="2E1D011A" w14:textId="77777777" w:rsidR="007F64C7" w:rsidRDefault="00D75AB6" w:rsidP="00D75AB6">
                <w:pPr>
                  <w:rPr>
                    <w:rFonts w:ascii="Arial" w:hAnsi="Arial" w:cs="Arial"/>
                    <w:szCs w:val="48"/>
                  </w:rPr>
                </w:pPr>
                <w:r>
                  <w:rPr>
                    <w:rFonts w:ascii="Arial" w:hAnsi="Arial" w:cs="Arial"/>
                    <w:szCs w:val="48"/>
                  </w:rPr>
                  <w:t xml:space="preserve">Riktlinje för </w:t>
                </w:r>
                <w:r w:rsidR="00DA2845">
                  <w:rPr>
                    <w:rFonts w:ascii="Arial" w:hAnsi="Arial" w:cs="Arial"/>
                    <w:szCs w:val="48"/>
                  </w:rPr>
                  <w:t>attest</w:t>
                </w:r>
              </w:p>
            </w:tc>
          </w:tr>
          <w:tr w:rsidR="007F64C7" w14:paraId="5C79A86F" w14:textId="77777777" w:rsidTr="007F64C7">
            <w:trPr>
              <w:trHeight w:val="536"/>
            </w:trPr>
            <w:tc>
              <w:tcPr>
                <w:tcW w:w="2340" w:type="dxa"/>
                <w:vAlign w:val="center"/>
              </w:tcPr>
              <w:p w14:paraId="4604DC7D" w14:textId="77777777" w:rsidR="007F64C7" w:rsidRPr="00323AAD" w:rsidRDefault="007F64C7" w:rsidP="007F64C7">
                <w:pPr>
                  <w:rPr>
                    <w:rFonts w:ascii="Arial" w:hAnsi="Arial" w:cs="Arial"/>
                    <w:sz w:val="20"/>
                    <w:szCs w:val="20"/>
                  </w:rPr>
                </w:pPr>
                <w:r w:rsidRPr="00323AAD">
                  <w:rPr>
                    <w:rFonts w:ascii="Arial" w:hAnsi="Arial" w:cs="Arial"/>
                    <w:sz w:val="20"/>
                    <w:szCs w:val="20"/>
                  </w:rPr>
                  <w:t>Beslutad av:</w:t>
                </w:r>
              </w:p>
            </w:tc>
            <w:tc>
              <w:tcPr>
                <w:tcW w:w="5030" w:type="dxa"/>
                <w:vAlign w:val="center"/>
              </w:tcPr>
              <w:p w14:paraId="438B9255" w14:textId="727B77B7" w:rsidR="007F64C7" w:rsidRDefault="00B25560" w:rsidP="007F64C7">
                <w:pPr>
                  <w:rPr>
                    <w:rFonts w:ascii="Arial" w:hAnsi="Arial" w:cs="Arial"/>
                    <w:szCs w:val="48"/>
                  </w:rPr>
                </w:pPr>
                <w:r>
                  <w:rPr>
                    <w:rFonts w:ascii="Arial" w:hAnsi="Arial" w:cs="Arial"/>
                    <w:szCs w:val="48"/>
                  </w:rPr>
                  <w:t>Kommun</w:t>
                </w:r>
                <w:r w:rsidR="008D6DD0">
                  <w:rPr>
                    <w:rFonts w:ascii="Arial" w:hAnsi="Arial" w:cs="Arial"/>
                    <w:szCs w:val="48"/>
                  </w:rPr>
                  <w:t>fullmäktige</w:t>
                </w:r>
              </w:p>
            </w:tc>
          </w:tr>
          <w:tr w:rsidR="007F64C7" w14:paraId="15796415" w14:textId="77777777" w:rsidTr="007F64C7">
            <w:trPr>
              <w:trHeight w:val="536"/>
            </w:trPr>
            <w:tc>
              <w:tcPr>
                <w:tcW w:w="2340" w:type="dxa"/>
                <w:vAlign w:val="center"/>
              </w:tcPr>
              <w:p w14:paraId="423F9732" w14:textId="77777777" w:rsidR="007F64C7" w:rsidRPr="00323AAD" w:rsidRDefault="007F64C7" w:rsidP="007F64C7">
                <w:pPr>
                  <w:rPr>
                    <w:rFonts w:ascii="Arial" w:hAnsi="Arial" w:cs="Arial"/>
                    <w:sz w:val="20"/>
                    <w:szCs w:val="20"/>
                  </w:rPr>
                </w:pPr>
                <w:r w:rsidRPr="00323AAD">
                  <w:rPr>
                    <w:rFonts w:ascii="Arial" w:hAnsi="Arial" w:cs="Arial"/>
                    <w:sz w:val="20"/>
                    <w:szCs w:val="20"/>
                  </w:rPr>
                  <w:t>Antagen:</w:t>
                </w:r>
              </w:p>
            </w:tc>
            <w:tc>
              <w:tcPr>
                <w:tcW w:w="5030" w:type="dxa"/>
                <w:vAlign w:val="center"/>
              </w:tcPr>
              <w:p w14:paraId="1C983015" w14:textId="4C648DD7" w:rsidR="007F64C7" w:rsidRPr="00C83284" w:rsidRDefault="007F64C7" w:rsidP="007F64C7">
                <w:pPr>
                  <w:rPr>
                    <w:rFonts w:ascii="Arial" w:hAnsi="Arial" w:cs="Arial"/>
                    <w:sz w:val="22"/>
                    <w:szCs w:val="48"/>
                  </w:rPr>
                </w:pPr>
                <w:r>
                  <w:rPr>
                    <w:rFonts w:ascii="Arial" w:hAnsi="Arial" w:cs="Arial"/>
                    <w:sz w:val="22"/>
                    <w:szCs w:val="48"/>
                  </w:rPr>
                  <w:t>20</w:t>
                </w:r>
                <w:r w:rsidR="00B25560">
                  <w:rPr>
                    <w:rFonts w:ascii="Arial" w:hAnsi="Arial" w:cs="Arial"/>
                    <w:sz w:val="22"/>
                    <w:szCs w:val="48"/>
                  </w:rPr>
                  <w:t>21</w:t>
                </w:r>
                <w:r>
                  <w:rPr>
                    <w:rFonts w:ascii="Arial" w:hAnsi="Arial" w:cs="Arial"/>
                    <w:sz w:val="22"/>
                    <w:szCs w:val="48"/>
                  </w:rPr>
                  <w:t>-</w:t>
                </w:r>
                <w:r w:rsidR="00B25560">
                  <w:rPr>
                    <w:rFonts w:ascii="Arial" w:hAnsi="Arial" w:cs="Arial"/>
                    <w:sz w:val="22"/>
                    <w:szCs w:val="48"/>
                  </w:rPr>
                  <w:t>04</w:t>
                </w:r>
                <w:r>
                  <w:rPr>
                    <w:rFonts w:ascii="Arial" w:hAnsi="Arial" w:cs="Arial"/>
                    <w:sz w:val="22"/>
                    <w:szCs w:val="48"/>
                  </w:rPr>
                  <w:t>-</w:t>
                </w:r>
                <w:r w:rsidR="00B25560">
                  <w:rPr>
                    <w:rFonts w:ascii="Arial" w:hAnsi="Arial" w:cs="Arial"/>
                    <w:sz w:val="22"/>
                    <w:szCs w:val="48"/>
                  </w:rPr>
                  <w:t>29</w:t>
                </w:r>
                <w:r>
                  <w:rPr>
                    <w:rFonts w:ascii="Arial" w:hAnsi="Arial" w:cs="Arial"/>
                    <w:sz w:val="22"/>
                    <w:szCs w:val="48"/>
                  </w:rPr>
                  <w:t xml:space="preserve"> och </w:t>
                </w:r>
                <w:r w:rsidRPr="008D6DD0">
                  <w:rPr>
                    <w:rFonts w:ascii="Arial" w:hAnsi="Arial" w:cs="Arial"/>
                    <w:sz w:val="22"/>
                    <w:szCs w:val="48"/>
                  </w:rPr>
                  <w:t xml:space="preserve">§ </w:t>
                </w:r>
                <w:r w:rsidR="008D6DD0">
                  <w:rPr>
                    <w:rFonts w:ascii="Arial" w:hAnsi="Arial" w:cs="Arial"/>
                    <w:sz w:val="22"/>
                    <w:szCs w:val="48"/>
                  </w:rPr>
                  <w:t>74</w:t>
                </w:r>
              </w:p>
            </w:tc>
          </w:tr>
          <w:tr w:rsidR="007F64C7" w14:paraId="2B3A8A33" w14:textId="77777777" w:rsidTr="007F64C7">
            <w:trPr>
              <w:trHeight w:val="536"/>
            </w:trPr>
            <w:tc>
              <w:tcPr>
                <w:tcW w:w="2340" w:type="dxa"/>
                <w:vAlign w:val="center"/>
              </w:tcPr>
              <w:p w14:paraId="6D0133EC" w14:textId="77777777" w:rsidR="007F64C7" w:rsidRPr="00323AAD" w:rsidRDefault="007F64C7" w:rsidP="007F64C7">
                <w:pPr>
                  <w:rPr>
                    <w:rFonts w:ascii="Arial" w:hAnsi="Arial" w:cs="Arial"/>
                    <w:sz w:val="20"/>
                    <w:szCs w:val="20"/>
                  </w:rPr>
                </w:pPr>
                <w:r w:rsidRPr="00323AAD">
                  <w:rPr>
                    <w:rFonts w:ascii="Arial" w:hAnsi="Arial" w:cs="Arial"/>
                    <w:sz w:val="20"/>
                    <w:szCs w:val="20"/>
                  </w:rPr>
                  <w:t>Gäller för:</w:t>
                </w:r>
              </w:p>
            </w:tc>
            <w:tc>
              <w:tcPr>
                <w:tcW w:w="5030" w:type="dxa"/>
                <w:vAlign w:val="center"/>
              </w:tcPr>
              <w:p w14:paraId="6231CAB6" w14:textId="152A9733" w:rsidR="007F64C7" w:rsidRDefault="00B25560" w:rsidP="007F64C7">
                <w:pPr>
                  <w:rPr>
                    <w:rFonts w:ascii="Arial" w:hAnsi="Arial" w:cs="Arial"/>
                    <w:szCs w:val="48"/>
                  </w:rPr>
                </w:pPr>
                <w:r>
                  <w:rPr>
                    <w:rFonts w:ascii="Arial" w:hAnsi="Arial" w:cs="Arial"/>
                    <w:szCs w:val="48"/>
                  </w:rPr>
                  <w:t>Kommunens nämnder och förvaltningar</w:t>
                </w:r>
              </w:p>
            </w:tc>
          </w:tr>
          <w:tr w:rsidR="007F64C7" w14:paraId="6792A3C3" w14:textId="77777777" w:rsidTr="007F64C7">
            <w:trPr>
              <w:trHeight w:val="536"/>
            </w:trPr>
            <w:tc>
              <w:tcPr>
                <w:tcW w:w="2340" w:type="dxa"/>
                <w:vAlign w:val="center"/>
              </w:tcPr>
              <w:p w14:paraId="7FD49772" w14:textId="77777777" w:rsidR="007F64C7" w:rsidRPr="00323AAD" w:rsidRDefault="007F64C7" w:rsidP="007F64C7">
                <w:pPr>
                  <w:rPr>
                    <w:rFonts w:ascii="Arial" w:hAnsi="Arial" w:cs="Arial"/>
                    <w:sz w:val="20"/>
                    <w:szCs w:val="20"/>
                  </w:rPr>
                </w:pPr>
                <w:r w:rsidRPr="00323AAD">
                  <w:rPr>
                    <w:rFonts w:ascii="Arial" w:hAnsi="Arial" w:cs="Arial"/>
                    <w:sz w:val="20"/>
                    <w:szCs w:val="20"/>
                  </w:rPr>
                  <w:t>Ansvar för revidering:</w:t>
                </w:r>
              </w:p>
            </w:tc>
            <w:tc>
              <w:tcPr>
                <w:tcW w:w="5030" w:type="dxa"/>
                <w:vAlign w:val="center"/>
              </w:tcPr>
              <w:p w14:paraId="19C2F736" w14:textId="3340B2F0" w:rsidR="007F64C7" w:rsidRDefault="00B25560" w:rsidP="00D75AB6">
                <w:pPr>
                  <w:rPr>
                    <w:rFonts w:ascii="Arial" w:hAnsi="Arial" w:cs="Arial"/>
                    <w:szCs w:val="48"/>
                  </w:rPr>
                </w:pPr>
                <w:r>
                  <w:rPr>
                    <w:rFonts w:ascii="Arial" w:hAnsi="Arial" w:cs="Arial"/>
                    <w:szCs w:val="48"/>
                  </w:rPr>
                  <w:t>Ekonomichef</w:t>
                </w:r>
              </w:p>
            </w:tc>
          </w:tr>
          <w:tr w:rsidR="007F64C7" w14:paraId="14A0AA71" w14:textId="77777777" w:rsidTr="007F64C7">
            <w:trPr>
              <w:trHeight w:val="536"/>
            </w:trPr>
            <w:tc>
              <w:tcPr>
                <w:tcW w:w="2340" w:type="dxa"/>
                <w:vAlign w:val="center"/>
              </w:tcPr>
              <w:p w14:paraId="7FA1652D" w14:textId="77777777" w:rsidR="007F64C7" w:rsidRPr="00323AAD" w:rsidRDefault="007F64C7" w:rsidP="007F64C7">
                <w:pPr>
                  <w:rPr>
                    <w:rFonts w:ascii="Arial" w:hAnsi="Arial" w:cs="Arial"/>
                    <w:sz w:val="20"/>
                    <w:szCs w:val="20"/>
                  </w:rPr>
                </w:pPr>
                <w:r w:rsidRPr="00323AAD">
                  <w:rPr>
                    <w:rFonts w:ascii="Arial" w:hAnsi="Arial" w:cs="Arial"/>
                    <w:sz w:val="20"/>
                    <w:szCs w:val="20"/>
                  </w:rPr>
                  <w:t>Giltighetstid:</w:t>
                </w:r>
              </w:p>
            </w:tc>
            <w:tc>
              <w:tcPr>
                <w:tcW w:w="5030" w:type="dxa"/>
                <w:vAlign w:val="center"/>
              </w:tcPr>
              <w:p w14:paraId="6DB35A6B" w14:textId="0653D7C4" w:rsidR="007F64C7" w:rsidRDefault="00B25560" w:rsidP="007F64C7">
                <w:pPr>
                  <w:rPr>
                    <w:rFonts w:ascii="Arial" w:hAnsi="Arial" w:cs="Arial"/>
                    <w:szCs w:val="48"/>
                  </w:rPr>
                </w:pPr>
                <w:r>
                  <w:rPr>
                    <w:rFonts w:ascii="Arial" w:hAnsi="Arial" w:cs="Arial"/>
                    <w:szCs w:val="48"/>
                  </w:rPr>
                  <w:t>Tills vidare</w:t>
                </w:r>
              </w:p>
            </w:tc>
          </w:tr>
          <w:tr w:rsidR="007F64C7" w14:paraId="763997D8" w14:textId="77777777" w:rsidTr="007F64C7">
            <w:trPr>
              <w:trHeight w:val="536"/>
            </w:trPr>
            <w:tc>
              <w:tcPr>
                <w:tcW w:w="2340" w:type="dxa"/>
                <w:vAlign w:val="center"/>
              </w:tcPr>
              <w:p w14:paraId="72B7765B" w14:textId="77777777" w:rsidR="007F64C7" w:rsidRPr="00323AAD" w:rsidRDefault="007F64C7" w:rsidP="007F64C7">
                <w:pPr>
                  <w:rPr>
                    <w:rFonts w:ascii="Arial" w:hAnsi="Arial" w:cs="Arial"/>
                    <w:sz w:val="20"/>
                    <w:szCs w:val="20"/>
                  </w:rPr>
                </w:pPr>
                <w:r w:rsidRPr="00323AAD">
                  <w:rPr>
                    <w:rFonts w:ascii="Arial" w:hAnsi="Arial" w:cs="Arial"/>
                    <w:sz w:val="20"/>
                    <w:szCs w:val="20"/>
                  </w:rPr>
                  <w:t>Ersätter:</w:t>
                </w:r>
                <w:r w:rsidRPr="00323AAD">
                  <w:rPr>
                    <w:rFonts w:ascii="Arial" w:hAnsi="Arial" w:cs="Arial"/>
                    <w:sz w:val="20"/>
                    <w:szCs w:val="20"/>
                  </w:rPr>
                  <w:tab/>
                </w:r>
              </w:p>
            </w:tc>
            <w:tc>
              <w:tcPr>
                <w:tcW w:w="5030" w:type="dxa"/>
                <w:vAlign w:val="center"/>
              </w:tcPr>
              <w:p w14:paraId="034481F0" w14:textId="3D560245" w:rsidR="007F64C7" w:rsidRDefault="00B25560" w:rsidP="007F64C7">
                <w:pPr>
                  <w:rPr>
                    <w:rFonts w:ascii="Arial" w:hAnsi="Arial" w:cs="Arial"/>
                    <w:szCs w:val="48"/>
                  </w:rPr>
                </w:pPr>
                <w:r>
                  <w:rPr>
                    <w:rFonts w:ascii="Arial" w:hAnsi="Arial" w:cs="Arial"/>
                    <w:szCs w:val="48"/>
                  </w:rPr>
                  <w:t xml:space="preserve">Riktlinjer för attest den 15 juni 2020 </w:t>
                </w:r>
                <w:r w:rsidR="008D6DD0">
                  <w:rPr>
                    <w:rFonts w:ascii="Arial" w:hAnsi="Arial" w:cs="Arial"/>
                    <w:szCs w:val="48"/>
                  </w:rPr>
                  <w:t>§</w:t>
                </w:r>
                <w:r>
                  <w:rPr>
                    <w:rFonts w:ascii="Arial" w:hAnsi="Arial" w:cs="Arial"/>
                    <w:szCs w:val="48"/>
                  </w:rPr>
                  <w:t xml:space="preserve"> 112</w:t>
                </w:r>
              </w:p>
            </w:tc>
          </w:tr>
        </w:tbl>
        <w:p w14:paraId="1A833A80" w14:textId="77777777" w:rsidR="00733526" w:rsidRDefault="00323AAD" w:rsidP="00733526">
          <w:r>
            <w:br w:type="page"/>
          </w:r>
        </w:p>
      </w:sdtContent>
    </w:sdt>
    <w:p w14:paraId="376802D0" w14:textId="77777777" w:rsidR="00810C8E" w:rsidRDefault="00733526">
      <w:pPr>
        <w:pStyle w:val="Innehll1"/>
        <w:tabs>
          <w:tab w:val="right" w:leader="dot" w:pos="7360"/>
        </w:tabs>
        <w:rPr>
          <w:rFonts w:asciiTheme="minorHAnsi" w:eastAsiaTheme="minorEastAsia" w:hAnsiTheme="minorHAnsi" w:cstheme="minorBidi"/>
          <w:noProof/>
          <w:sz w:val="22"/>
          <w:lang w:eastAsia="sv-SE"/>
        </w:rPr>
      </w:pPr>
      <w:r>
        <w:lastRenderedPageBreak/>
        <w:fldChar w:fldCharType="begin"/>
      </w:r>
      <w:r>
        <w:instrText xml:space="preserve"> TOC \o "1-3" \h \z \u </w:instrText>
      </w:r>
      <w:r>
        <w:fldChar w:fldCharType="separate"/>
      </w:r>
      <w:hyperlink w:anchor="_Toc35368932" w:history="1">
        <w:r w:rsidR="00810C8E" w:rsidRPr="00347AB8">
          <w:rPr>
            <w:rStyle w:val="Hyperlnk"/>
            <w:noProof/>
          </w:rPr>
          <w:t>Inledning</w:t>
        </w:r>
        <w:r w:rsidR="00810C8E">
          <w:rPr>
            <w:noProof/>
            <w:webHidden/>
          </w:rPr>
          <w:tab/>
        </w:r>
        <w:r w:rsidR="00810C8E">
          <w:rPr>
            <w:noProof/>
            <w:webHidden/>
          </w:rPr>
          <w:fldChar w:fldCharType="begin"/>
        </w:r>
        <w:r w:rsidR="00810C8E">
          <w:rPr>
            <w:noProof/>
            <w:webHidden/>
          </w:rPr>
          <w:instrText xml:space="preserve"> PAGEREF _Toc35368932 \h </w:instrText>
        </w:r>
        <w:r w:rsidR="00810C8E">
          <w:rPr>
            <w:noProof/>
            <w:webHidden/>
          </w:rPr>
        </w:r>
        <w:r w:rsidR="00810C8E">
          <w:rPr>
            <w:noProof/>
            <w:webHidden/>
          </w:rPr>
          <w:fldChar w:fldCharType="separate"/>
        </w:r>
        <w:r w:rsidR="00810C8E">
          <w:rPr>
            <w:noProof/>
            <w:webHidden/>
          </w:rPr>
          <w:t>2</w:t>
        </w:r>
        <w:r w:rsidR="00810C8E">
          <w:rPr>
            <w:noProof/>
            <w:webHidden/>
          </w:rPr>
          <w:fldChar w:fldCharType="end"/>
        </w:r>
      </w:hyperlink>
    </w:p>
    <w:p w14:paraId="2C40B5E3" w14:textId="77777777" w:rsidR="00810C8E" w:rsidRDefault="008D6DD0">
      <w:pPr>
        <w:pStyle w:val="Innehll1"/>
        <w:tabs>
          <w:tab w:val="right" w:leader="dot" w:pos="7360"/>
        </w:tabs>
        <w:rPr>
          <w:rFonts w:asciiTheme="minorHAnsi" w:eastAsiaTheme="minorEastAsia" w:hAnsiTheme="minorHAnsi" w:cstheme="minorBidi"/>
          <w:noProof/>
          <w:sz w:val="22"/>
          <w:lang w:eastAsia="sv-SE"/>
        </w:rPr>
      </w:pPr>
      <w:hyperlink w:anchor="_Toc35368933" w:history="1">
        <w:r w:rsidR="00810C8E" w:rsidRPr="00347AB8">
          <w:rPr>
            <w:rStyle w:val="Hyperlnk"/>
            <w:noProof/>
          </w:rPr>
          <w:t>Tillämpningsområde</w:t>
        </w:r>
        <w:r w:rsidR="00810C8E">
          <w:rPr>
            <w:noProof/>
            <w:webHidden/>
          </w:rPr>
          <w:tab/>
        </w:r>
        <w:r w:rsidR="00810C8E">
          <w:rPr>
            <w:noProof/>
            <w:webHidden/>
          </w:rPr>
          <w:fldChar w:fldCharType="begin"/>
        </w:r>
        <w:r w:rsidR="00810C8E">
          <w:rPr>
            <w:noProof/>
            <w:webHidden/>
          </w:rPr>
          <w:instrText xml:space="preserve"> PAGEREF _Toc35368933 \h </w:instrText>
        </w:r>
        <w:r w:rsidR="00810C8E">
          <w:rPr>
            <w:noProof/>
            <w:webHidden/>
          </w:rPr>
        </w:r>
        <w:r w:rsidR="00810C8E">
          <w:rPr>
            <w:noProof/>
            <w:webHidden/>
          </w:rPr>
          <w:fldChar w:fldCharType="separate"/>
        </w:r>
        <w:r w:rsidR="00810C8E">
          <w:rPr>
            <w:noProof/>
            <w:webHidden/>
          </w:rPr>
          <w:t>3</w:t>
        </w:r>
        <w:r w:rsidR="00810C8E">
          <w:rPr>
            <w:noProof/>
            <w:webHidden/>
          </w:rPr>
          <w:fldChar w:fldCharType="end"/>
        </w:r>
      </w:hyperlink>
    </w:p>
    <w:p w14:paraId="498E9484" w14:textId="77777777" w:rsidR="00810C8E" w:rsidRDefault="008D6DD0">
      <w:pPr>
        <w:pStyle w:val="Innehll1"/>
        <w:tabs>
          <w:tab w:val="right" w:leader="dot" w:pos="7360"/>
        </w:tabs>
        <w:rPr>
          <w:rFonts w:asciiTheme="minorHAnsi" w:eastAsiaTheme="minorEastAsia" w:hAnsiTheme="minorHAnsi" w:cstheme="minorBidi"/>
          <w:noProof/>
          <w:sz w:val="22"/>
          <w:lang w:eastAsia="sv-SE"/>
        </w:rPr>
      </w:pPr>
      <w:hyperlink w:anchor="_Toc35368934" w:history="1">
        <w:r w:rsidR="00810C8E" w:rsidRPr="00347AB8">
          <w:rPr>
            <w:rStyle w:val="Hyperlnk"/>
            <w:noProof/>
          </w:rPr>
          <w:t>Attestens innehåll</w:t>
        </w:r>
        <w:r w:rsidR="00810C8E">
          <w:rPr>
            <w:noProof/>
            <w:webHidden/>
          </w:rPr>
          <w:tab/>
        </w:r>
        <w:r w:rsidR="00810C8E">
          <w:rPr>
            <w:noProof/>
            <w:webHidden/>
          </w:rPr>
          <w:fldChar w:fldCharType="begin"/>
        </w:r>
        <w:r w:rsidR="00810C8E">
          <w:rPr>
            <w:noProof/>
            <w:webHidden/>
          </w:rPr>
          <w:instrText xml:space="preserve"> PAGEREF _Toc35368934 \h </w:instrText>
        </w:r>
        <w:r w:rsidR="00810C8E">
          <w:rPr>
            <w:noProof/>
            <w:webHidden/>
          </w:rPr>
        </w:r>
        <w:r w:rsidR="00810C8E">
          <w:rPr>
            <w:noProof/>
            <w:webHidden/>
          </w:rPr>
          <w:fldChar w:fldCharType="separate"/>
        </w:r>
        <w:r w:rsidR="00810C8E">
          <w:rPr>
            <w:noProof/>
            <w:webHidden/>
          </w:rPr>
          <w:t>4</w:t>
        </w:r>
        <w:r w:rsidR="00810C8E">
          <w:rPr>
            <w:noProof/>
            <w:webHidden/>
          </w:rPr>
          <w:fldChar w:fldCharType="end"/>
        </w:r>
      </w:hyperlink>
    </w:p>
    <w:p w14:paraId="7DE457A1" w14:textId="77777777" w:rsidR="00810C8E" w:rsidRDefault="008D6DD0">
      <w:pPr>
        <w:pStyle w:val="Innehll1"/>
        <w:tabs>
          <w:tab w:val="right" w:leader="dot" w:pos="7360"/>
        </w:tabs>
        <w:rPr>
          <w:rFonts w:asciiTheme="minorHAnsi" w:eastAsiaTheme="minorEastAsia" w:hAnsiTheme="minorHAnsi" w:cstheme="minorBidi"/>
          <w:noProof/>
          <w:sz w:val="22"/>
          <w:lang w:eastAsia="sv-SE"/>
        </w:rPr>
      </w:pPr>
      <w:hyperlink w:anchor="_Toc35368935" w:history="1">
        <w:r w:rsidR="00810C8E" w:rsidRPr="00347AB8">
          <w:rPr>
            <w:rStyle w:val="Hyperlnk"/>
            <w:noProof/>
          </w:rPr>
          <w:t>Nämndernas och förvaltningarnas ansvar</w:t>
        </w:r>
        <w:r w:rsidR="00810C8E">
          <w:rPr>
            <w:noProof/>
            <w:webHidden/>
          </w:rPr>
          <w:tab/>
        </w:r>
        <w:r w:rsidR="00810C8E">
          <w:rPr>
            <w:noProof/>
            <w:webHidden/>
          </w:rPr>
          <w:fldChar w:fldCharType="begin"/>
        </w:r>
        <w:r w:rsidR="00810C8E">
          <w:rPr>
            <w:noProof/>
            <w:webHidden/>
          </w:rPr>
          <w:instrText xml:space="preserve"> PAGEREF _Toc35368935 \h </w:instrText>
        </w:r>
        <w:r w:rsidR="00810C8E">
          <w:rPr>
            <w:noProof/>
            <w:webHidden/>
          </w:rPr>
        </w:r>
        <w:r w:rsidR="00810C8E">
          <w:rPr>
            <w:noProof/>
            <w:webHidden/>
          </w:rPr>
          <w:fldChar w:fldCharType="separate"/>
        </w:r>
        <w:r w:rsidR="00810C8E">
          <w:rPr>
            <w:noProof/>
            <w:webHidden/>
          </w:rPr>
          <w:t>6</w:t>
        </w:r>
        <w:r w:rsidR="00810C8E">
          <w:rPr>
            <w:noProof/>
            <w:webHidden/>
          </w:rPr>
          <w:fldChar w:fldCharType="end"/>
        </w:r>
      </w:hyperlink>
    </w:p>
    <w:p w14:paraId="3C02A6DC" w14:textId="77777777" w:rsidR="00810C8E" w:rsidRDefault="008D6DD0">
      <w:pPr>
        <w:pStyle w:val="Innehll1"/>
        <w:tabs>
          <w:tab w:val="right" w:leader="dot" w:pos="7360"/>
        </w:tabs>
        <w:rPr>
          <w:rFonts w:asciiTheme="minorHAnsi" w:eastAsiaTheme="minorEastAsia" w:hAnsiTheme="minorHAnsi" w:cstheme="minorBidi"/>
          <w:noProof/>
          <w:sz w:val="22"/>
          <w:lang w:eastAsia="sv-SE"/>
        </w:rPr>
      </w:pPr>
      <w:hyperlink w:anchor="_Toc35368936" w:history="1">
        <w:r w:rsidR="00810C8E" w:rsidRPr="00347AB8">
          <w:rPr>
            <w:rStyle w:val="Hyperlnk"/>
            <w:noProof/>
          </w:rPr>
          <w:t>Attestantuppdrag</w:t>
        </w:r>
        <w:r w:rsidR="00810C8E">
          <w:rPr>
            <w:noProof/>
            <w:webHidden/>
          </w:rPr>
          <w:tab/>
        </w:r>
        <w:r w:rsidR="00810C8E">
          <w:rPr>
            <w:noProof/>
            <w:webHidden/>
          </w:rPr>
          <w:fldChar w:fldCharType="begin"/>
        </w:r>
        <w:r w:rsidR="00810C8E">
          <w:rPr>
            <w:noProof/>
            <w:webHidden/>
          </w:rPr>
          <w:instrText xml:space="preserve"> PAGEREF _Toc35368936 \h </w:instrText>
        </w:r>
        <w:r w:rsidR="00810C8E">
          <w:rPr>
            <w:noProof/>
            <w:webHidden/>
          </w:rPr>
        </w:r>
        <w:r w:rsidR="00810C8E">
          <w:rPr>
            <w:noProof/>
            <w:webHidden/>
          </w:rPr>
          <w:fldChar w:fldCharType="separate"/>
        </w:r>
        <w:r w:rsidR="00810C8E">
          <w:rPr>
            <w:noProof/>
            <w:webHidden/>
          </w:rPr>
          <w:t>7</w:t>
        </w:r>
        <w:r w:rsidR="00810C8E">
          <w:rPr>
            <w:noProof/>
            <w:webHidden/>
          </w:rPr>
          <w:fldChar w:fldCharType="end"/>
        </w:r>
      </w:hyperlink>
    </w:p>
    <w:p w14:paraId="4CC82B00" w14:textId="77777777" w:rsidR="00810C8E" w:rsidRDefault="008D6DD0">
      <w:pPr>
        <w:pStyle w:val="Innehll1"/>
        <w:tabs>
          <w:tab w:val="right" w:leader="dot" w:pos="7360"/>
        </w:tabs>
        <w:rPr>
          <w:rFonts w:asciiTheme="minorHAnsi" w:eastAsiaTheme="minorEastAsia" w:hAnsiTheme="minorHAnsi" w:cstheme="minorBidi"/>
          <w:noProof/>
          <w:sz w:val="22"/>
          <w:lang w:eastAsia="sv-SE"/>
        </w:rPr>
      </w:pPr>
      <w:hyperlink w:anchor="_Toc35368937" w:history="1">
        <w:r w:rsidR="00810C8E" w:rsidRPr="00347AB8">
          <w:rPr>
            <w:rStyle w:val="Hyperlnk"/>
            <w:noProof/>
          </w:rPr>
          <w:t>Jäv</w:t>
        </w:r>
        <w:r w:rsidR="00810C8E">
          <w:rPr>
            <w:noProof/>
            <w:webHidden/>
          </w:rPr>
          <w:tab/>
        </w:r>
        <w:r w:rsidR="00810C8E">
          <w:rPr>
            <w:noProof/>
            <w:webHidden/>
          </w:rPr>
          <w:fldChar w:fldCharType="begin"/>
        </w:r>
        <w:r w:rsidR="00810C8E">
          <w:rPr>
            <w:noProof/>
            <w:webHidden/>
          </w:rPr>
          <w:instrText xml:space="preserve"> PAGEREF _Toc35368937 \h </w:instrText>
        </w:r>
        <w:r w:rsidR="00810C8E">
          <w:rPr>
            <w:noProof/>
            <w:webHidden/>
          </w:rPr>
        </w:r>
        <w:r w:rsidR="00810C8E">
          <w:rPr>
            <w:noProof/>
            <w:webHidden/>
          </w:rPr>
          <w:fldChar w:fldCharType="separate"/>
        </w:r>
        <w:r w:rsidR="00810C8E">
          <w:rPr>
            <w:noProof/>
            <w:webHidden/>
          </w:rPr>
          <w:t>8</w:t>
        </w:r>
        <w:r w:rsidR="00810C8E">
          <w:rPr>
            <w:noProof/>
            <w:webHidden/>
          </w:rPr>
          <w:fldChar w:fldCharType="end"/>
        </w:r>
      </w:hyperlink>
    </w:p>
    <w:p w14:paraId="36267A1D" w14:textId="77777777" w:rsidR="00713749" w:rsidRPr="00A21CF9" w:rsidRDefault="00733526" w:rsidP="00713749">
      <w:pPr>
        <w:pStyle w:val="Rubrik1"/>
        <w:rPr>
          <w:rFonts w:cs="Arial"/>
          <w:sz w:val="24"/>
          <w:szCs w:val="24"/>
        </w:rPr>
      </w:pPr>
      <w:r>
        <w:lastRenderedPageBreak/>
        <w:fldChar w:fldCharType="end"/>
      </w:r>
      <w:bookmarkStart w:id="0" w:name="_Toc506543904"/>
      <w:bookmarkStart w:id="1" w:name="_Toc35368932"/>
      <w:r w:rsidR="00713749" w:rsidRPr="00A21CF9">
        <w:rPr>
          <w:rFonts w:cs="Arial"/>
          <w:sz w:val="24"/>
          <w:szCs w:val="24"/>
        </w:rPr>
        <w:t>Inledning</w:t>
      </w:r>
      <w:bookmarkEnd w:id="0"/>
      <w:bookmarkEnd w:id="1"/>
    </w:p>
    <w:p w14:paraId="7D277F93" w14:textId="77777777" w:rsidR="00DA2845" w:rsidRPr="00A21CF9" w:rsidRDefault="00DA2845" w:rsidP="00DA2845">
      <w:pPr>
        <w:pStyle w:val="Default"/>
      </w:pPr>
      <w:r w:rsidRPr="00A21CF9">
        <w:t>Dessa riktlinjer styr ansvars- och arbetsfördelningen i kommunen när vi attesterar ekonomiska transaktioner.</w:t>
      </w:r>
      <w:r w:rsidR="00A21CF9" w:rsidRPr="00A21CF9">
        <w:t xml:space="preserve"> </w:t>
      </w:r>
      <w:r w:rsidRPr="00A21CF9">
        <w:t xml:space="preserve">Rätten att fatta beslut om ekonomiska transaktioner, till exempel rätten att ingå avtal, framgår av nämndernas delegeringsordning. </w:t>
      </w:r>
    </w:p>
    <w:p w14:paraId="6F5630D2" w14:textId="77777777" w:rsidR="00A21CF9" w:rsidRPr="00A21CF9" w:rsidRDefault="00A21CF9" w:rsidP="00DA2845">
      <w:pPr>
        <w:pStyle w:val="Default"/>
      </w:pPr>
    </w:p>
    <w:p w14:paraId="589BE365" w14:textId="77777777" w:rsidR="00DA2845" w:rsidRPr="00A21CF9" w:rsidRDefault="00DA2845" w:rsidP="00DA2845">
      <w:pPr>
        <w:pStyle w:val="Default"/>
      </w:pPr>
      <w:r w:rsidRPr="00A21CF9">
        <w:t xml:space="preserve">Syftet med attestriktlinjerna är att säkerställa en rättvisande redovisning och motverka oegentligheter. </w:t>
      </w:r>
    </w:p>
    <w:p w14:paraId="6F6F8450" w14:textId="77777777" w:rsidR="00A21CF9" w:rsidRPr="00A21CF9" w:rsidRDefault="00A21CF9" w:rsidP="00DA2845">
      <w:pPr>
        <w:pStyle w:val="Default"/>
      </w:pPr>
    </w:p>
    <w:p w14:paraId="2433DD1C" w14:textId="77777777" w:rsidR="00DA2845" w:rsidRPr="00A21CF9" w:rsidRDefault="00DA2845" w:rsidP="00DA2845">
      <w:pPr>
        <w:pStyle w:val="Default"/>
      </w:pPr>
      <w:r w:rsidRPr="00A21CF9">
        <w:t xml:space="preserve">Kommunen ska ha en god intern kontroll, och riktlinjen är en viktig del i den interna kontrollen för att säkerställa tillämpningen av attester. </w:t>
      </w:r>
    </w:p>
    <w:p w14:paraId="74B65250" w14:textId="77777777" w:rsidR="00A21CF9" w:rsidRPr="00A21CF9" w:rsidRDefault="00DA2845" w:rsidP="00DA2845">
      <w:pPr>
        <w:pStyle w:val="Default"/>
      </w:pPr>
      <w:r w:rsidRPr="00A21CF9">
        <w:t>Transaktioner ska i första hand attesteras innan de utförs. Huvudregeln är att ingen enskild person själv får hantera en transaktion i alla led, den så kallade två-hands-principen</w:t>
      </w:r>
      <w:r w:rsidR="00A21CF9" w:rsidRPr="00A21CF9">
        <w:t xml:space="preserve"> gäller</w:t>
      </w:r>
      <w:r w:rsidRPr="00A21CF9">
        <w:t>.</w:t>
      </w:r>
    </w:p>
    <w:p w14:paraId="1180AA6C" w14:textId="77777777" w:rsidR="00DA2845" w:rsidRPr="00A21CF9" w:rsidRDefault="00DA2845" w:rsidP="00DA2845">
      <w:pPr>
        <w:pStyle w:val="Default"/>
      </w:pPr>
      <w:r w:rsidRPr="00A21CF9">
        <w:t xml:space="preserve"> </w:t>
      </w:r>
    </w:p>
    <w:p w14:paraId="10169F52" w14:textId="77777777" w:rsidR="00DA2845" w:rsidRPr="00A21CF9" w:rsidRDefault="00DA2845" w:rsidP="00DA2845">
      <w:pPr>
        <w:pStyle w:val="Default"/>
      </w:pPr>
      <w:r w:rsidRPr="00A21CF9">
        <w:t xml:space="preserve">All attest är kontroll men all kontroll är inte attest. Kommunen måste ha en god intern kontroll, men detta innebär inte att kontroll alltid måste ske genom attester. </w:t>
      </w:r>
    </w:p>
    <w:p w14:paraId="4EEAB51A" w14:textId="77777777" w:rsidR="00A21CF9" w:rsidRPr="00A21CF9" w:rsidRDefault="00A21CF9" w:rsidP="00DA2845">
      <w:pPr>
        <w:pStyle w:val="Default"/>
      </w:pPr>
    </w:p>
    <w:p w14:paraId="1D3275A6" w14:textId="77777777" w:rsidR="00DA2845" w:rsidRPr="00A21CF9" w:rsidRDefault="00DA2845" w:rsidP="00DA2845">
      <w:pPr>
        <w:pStyle w:val="Default"/>
      </w:pPr>
      <w:r w:rsidRPr="00A21CF9">
        <w:t>Attestriktlinjerna gäller för alla kommunens nämnder och förvaltningar.</w:t>
      </w:r>
    </w:p>
    <w:p w14:paraId="33D8148F" w14:textId="77777777" w:rsidR="00DA2845" w:rsidRPr="00A21CF9" w:rsidRDefault="00DA2845" w:rsidP="00DA2845">
      <w:pPr>
        <w:pStyle w:val="Default"/>
      </w:pPr>
      <w:r w:rsidRPr="00A21CF9">
        <w:t xml:space="preserve">I den kommungemensamma tillämpningsanvisningen finns mer detaljer om tillämpningar i aktuella system. </w:t>
      </w:r>
    </w:p>
    <w:p w14:paraId="03996EB8" w14:textId="77777777" w:rsidR="00DA2845" w:rsidRPr="00A21CF9" w:rsidRDefault="00DA2845" w:rsidP="00DA2845">
      <w:pPr>
        <w:rPr>
          <w:rFonts w:ascii="Arial" w:hAnsi="Arial" w:cs="Arial"/>
          <w:szCs w:val="24"/>
        </w:rPr>
      </w:pPr>
    </w:p>
    <w:p w14:paraId="3039483C" w14:textId="77777777" w:rsidR="00DA2845" w:rsidRPr="00A21CF9" w:rsidRDefault="00DA2845" w:rsidP="00810C8E">
      <w:pPr>
        <w:pStyle w:val="Rubrik1"/>
        <w:rPr>
          <w:rFonts w:cs="Arial"/>
          <w:sz w:val="24"/>
          <w:szCs w:val="24"/>
        </w:rPr>
      </w:pPr>
      <w:bookmarkStart w:id="2" w:name="_Toc35368933"/>
      <w:r w:rsidRPr="00A21CF9">
        <w:rPr>
          <w:rFonts w:cs="Arial"/>
          <w:sz w:val="24"/>
          <w:szCs w:val="24"/>
        </w:rPr>
        <w:lastRenderedPageBreak/>
        <w:t>Tillämpningsområde</w:t>
      </w:r>
      <w:bookmarkEnd w:id="2"/>
      <w:r w:rsidRPr="00A21CF9">
        <w:rPr>
          <w:rFonts w:cs="Arial"/>
          <w:sz w:val="24"/>
          <w:szCs w:val="24"/>
        </w:rPr>
        <w:t xml:space="preserve"> </w:t>
      </w:r>
    </w:p>
    <w:p w14:paraId="2094F2E6" w14:textId="77777777" w:rsidR="00DA2845" w:rsidRPr="00A21CF9" w:rsidRDefault="00DA2845" w:rsidP="00DA2845">
      <w:pPr>
        <w:pStyle w:val="Default"/>
      </w:pPr>
      <w:r w:rsidRPr="00A21CF9">
        <w:t>Dessa riktlinjer gäller för kommunens samtliga ekonomiska transaktioner, inklusive interna transaktioner och kommunens egen kapitalförvaltning samt medel som kommunen ålagts eller åtagit sig att förvalta eller förmedla åt andra juridiska personer.</w:t>
      </w:r>
    </w:p>
    <w:p w14:paraId="0D3737E0" w14:textId="77777777" w:rsidR="00DA2845" w:rsidRPr="00A21CF9" w:rsidRDefault="00DA2845" w:rsidP="00DA2845">
      <w:pPr>
        <w:pStyle w:val="Default"/>
      </w:pPr>
      <w:r w:rsidRPr="00A21CF9">
        <w:t xml:space="preserve"> </w:t>
      </w:r>
    </w:p>
    <w:p w14:paraId="1A674972" w14:textId="77777777" w:rsidR="00DA2845" w:rsidRPr="00A21CF9" w:rsidRDefault="00DA2845" w:rsidP="00DA2845">
      <w:pPr>
        <w:pStyle w:val="Default"/>
      </w:pPr>
      <w:r w:rsidRPr="00A21CF9">
        <w:t xml:space="preserve">Exempel på dessa är: </w:t>
      </w:r>
    </w:p>
    <w:p w14:paraId="07794F51" w14:textId="77777777" w:rsidR="00DA2845" w:rsidRPr="00A21CF9" w:rsidRDefault="00DA2845" w:rsidP="00DA2845">
      <w:pPr>
        <w:pStyle w:val="Default"/>
      </w:pPr>
      <w:r w:rsidRPr="00A21CF9">
        <w:t xml:space="preserve">• leverantörsfakturor och andra externa betalningar </w:t>
      </w:r>
    </w:p>
    <w:p w14:paraId="53E4930B" w14:textId="77777777" w:rsidR="00DA2845" w:rsidRPr="00A21CF9" w:rsidRDefault="00DA2845" w:rsidP="00DA2845">
      <w:pPr>
        <w:pStyle w:val="Default"/>
      </w:pPr>
      <w:r w:rsidRPr="00A21CF9">
        <w:t xml:space="preserve">• löner och andra personalkostnader </w:t>
      </w:r>
    </w:p>
    <w:p w14:paraId="02E9E4D1" w14:textId="77777777" w:rsidR="00DA2845" w:rsidRPr="00A21CF9" w:rsidRDefault="00DA2845" w:rsidP="00DA2845">
      <w:pPr>
        <w:pStyle w:val="Default"/>
      </w:pPr>
      <w:r w:rsidRPr="00A21CF9">
        <w:t xml:space="preserve">• kundfakturor </w:t>
      </w:r>
    </w:p>
    <w:p w14:paraId="61FBD4E7" w14:textId="77777777" w:rsidR="00DA2845" w:rsidRPr="00A21CF9" w:rsidRDefault="00DA2845" w:rsidP="00DA2845">
      <w:pPr>
        <w:pStyle w:val="Default"/>
      </w:pPr>
      <w:r w:rsidRPr="00A21CF9">
        <w:t xml:space="preserve">• interna transaktioner, exempelvis internfakturering </w:t>
      </w:r>
    </w:p>
    <w:p w14:paraId="15239DDB" w14:textId="77777777" w:rsidR="00DA2845" w:rsidRPr="00A21CF9" w:rsidRDefault="00DA2845" w:rsidP="00DA2845">
      <w:pPr>
        <w:pStyle w:val="Default"/>
      </w:pPr>
      <w:r w:rsidRPr="00A21CF9">
        <w:t xml:space="preserve">• bokföringsorder </w:t>
      </w:r>
    </w:p>
    <w:p w14:paraId="126B8F50" w14:textId="77777777" w:rsidR="00DA2845" w:rsidRPr="00A21CF9" w:rsidRDefault="00DA2845" w:rsidP="00DA2845">
      <w:pPr>
        <w:pStyle w:val="Default"/>
      </w:pPr>
    </w:p>
    <w:p w14:paraId="43659EBE" w14:textId="77777777" w:rsidR="00DA2845" w:rsidRPr="00A21CF9" w:rsidRDefault="00DA2845" w:rsidP="00DA2845">
      <w:pPr>
        <w:rPr>
          <w:rFonts w:ascii="Arial" w:hAnsi="Arial" w:cs="Arial"/>
          <w:szCs w:val="24"/>
        </w:rPr>
      </w:pPr>
      <w:r w:rsidRPr="00A21CF9">
        <w:rPr>
          <w:rFonts w:ascii="Arial" w:hAnsi="Arial" w:cs="Arial"/>
          <w:szCs w:val="24"/>
        </w:rPr>
        <w:t>Betalningsunderlag som skapats i något av kommunens system och som grundar sig på formella beslut kräver ingen attest. Dock måste systemägarna till varje system som genererar denna typ av betalningsunderlag säkerställa att det finns en god intern kontroll. För dessa system ska det finnas en beskrivning av rutiner och hantering av beslut i en tillämpningsanvisning. Exempel på denna typ av hantering är avtalsfakturering från hyressystem eller beslutade transaktioner från lönesystem.</w:t>
      </w:r>
    </w:p>
    <w:p w14:paraId="2C87BF15" w14:textId="77777777" w:rsidR="00DA2845" w:rsidRPr="00A21CF9" w:rsidRDefault="00DA2845" w:rsidP="00DA2845">
      <w:pPr>
        <w:rPr>
          <w:rFonts w:ascii="Arial" w:hAnsi="Arial" w:cs="Arial"/>
          <w:szCs w:val="24"/>
        </w:rPr>
      </w:pPr>
    </w:p>
    <w:p w14:paraId="6EBA5D38" w14:textId="77777777" w:rsidR="00DA2845" w:rsidRPr="00A21CF9" w:rsidRDefault="00DA2845" w:rsidP="00810C8E">
      <w:pPr>
        <w:pStyle w:val="Rubrik1"/>
        <w:rPr>
          <w:rFonts w:cs="Arial"/>
          <w:sz w:val="24"/>
          <w:szCs w:val="24"/>
        </w:rPr>
      </w:pPr>
      <w:bookmarkStart w:id="3" w:name="_Toc35368934"/>
      <w:r w:rsidRPr="00A21CF9">
        <w:rPr>
          <w:rFonts w:cs="Arial"/>
          <w:sz w:val="24"/>
          <w:szCs w:val="24"/>
        </w:rPr>
        <w:t>Attestens innehåll</w:t>
      </w:r>
      <w:bookmarkEnd w:id="3"/>
      <w:r w:rsidRPr="00A21CF9">
        <w:rPr>
          <w:rFonts w:cs="Arial"/>
          <w:sz w:val="24"/>
          <w:szCs w:val="24"/>
        </w:rPr>
        <w:t xml:space="preserve"> </w:t>
      </w:r>
    </w:p>
    <w:p w14:paraId="7E973051" w14:textId="77777777" w:rsidR="00DA2845" w:rsidRPr="00A21CF9" w:rsidRDefault="00DA2845" w:rsidP="00DA2845">
      <w:pPr>
        <w:pStyle w:val="Default"/>
      </w:pPr>
      <w:r w:rsidRPr="00A21CF9">
        <w:t xml:space="preserve">I kommunen förekommer fyra olika attesttyper som innebär olika typer av kontroller. Anledningen till att den är uppdelad i fyra olika typer är att kontrollen av praktiska skäl görs genom olika moment beroende på vilken typ av transaktion det gäller. </w:t>
      </w:r>
    </w:p>
    <w:p w14:paraId="092580C0" w14:textId="77777777" w:rsidR="00DA2845" w:rsidRPr="00A21CF9" w:rsidRDefault="00DA2845" w:rsidP="00DA2845">
      <w:pPr>
        <w:pStyle w:val="Default"/>
      </w:pPr>
    </w:p>
    <w:p w14:paraId="7EC8F9D2" w14:textId="77777777" w:rsidR="00DA2845" w:rsidRPr="00A21CF9" w:rsidRDefault="00DA2845" w:rsidP="00DA2845">
      <w:pPr>
        <w:pStyle w:val="Default"/>
      </w:pPr>
      <w:r w:rsidRPr="00A21CF9">
        <w:t xml:space="preserve">• konteringsattest </w:t>
      </w:r>
    </w:p>
    <w:p w14:paraId="7F24F6B4" w14:textId="77777777" w:rsidR="00DA2845" w:rsidRPr="00A21CF9" w:rsidRDefault="00DA2845" w:rsidP="00DA2845">
      <w:pPr>
        <w:pStyle w:val="Default"/>
      </w:pPr>
      <w:r w:rsidRPr="00A21CF9">
        <w:t xml:space="preserve">• granskningsattest </w:t>
      </w:r>
    </w:p>
    <w:p w14:paraId="48195CB0" w14:textId="77777777" w:rsidR="00DA2845" w:rsidRPr="00A21CF9" w:rsidRDefault="00DA2845" w:rsidP="00DA2845">
      <w:pPr>
        <w:pStyle w:val="Default"/>
      </w:pPr>
      <w:r w:rsidRPr="00A21CF9">
        <w:t xml:space="preserve">• beslutsattest </w:t>
      </w:r>
    </w:p>
    <w:p w14:paraId="1005AB2D" w14:textId="77777777" w:rsidR="00DA2845" w:rsidRPr="00A21CF9" w:rsidRDefault="00DA2845" w:rsidP="00DA2845">
      <w:pPr>
        <w:pStyle w:val="Default"/>
      </w:pPr>
      <w:r w:rsidRPr="00A21CF9">
        <w:t xml:space="preserve">• behörighetsattest </w:t>
      </w:r>
    </w:p>
    <w:p w14:paraId="44848BA7" w14:textId="77777777" w:rsidR="00DA2845" w:rsidRPr="00A21CF9" w:rsidRDefault="00DA2845" w:rsidP="00DA2845">
      <w:pPr>
        <w:pStyle w:val="Default"/>
      </w:pPr>
    </w:p>
    <w:p w14:paraId="2BEE6940" w14:textId="77777777" w:rsidR="00DA2845" w:rsidRDefault="00DA2845" w:rsidP="00DA2845">
      <w:pPr>
        <w:pStyle w:val="Default"/>
      </w:pPr>
      <w:r w:rsidRPr="00A21CF9">
        <w:t xml:space="preserve">Av dessa är det de förstnämnda tre attesttyperna som vanligen berör de flesta av oss i den löpande verksamheten. </w:t>
      </w:r>
    </w:p>
    <w:p w14:paraId="74487F15" w14:textId="77777777" w:rsidR="00A21CF9" w:rsidRPr="00A21CF9" w:rsidRDefault="00A21CF9" w:rsidP="00DA2845">
      <w:pPr>
        <w:pStyle w:val="Default"/>
      </w:pPr>
    </w:p>
    <w:p w14:paraId="1C4049BC" w14:textId="77777777" w:rsidR="00DA2845" w:rsidRDefault="00DA2845" w:rsidP="00DA2845">
      <w:pPr>
        <w:pStyle w:val="Default"/>
      </w:pPr>
      <w:r w:rsidRPr="00A21CF9">
        <w:t xml:space="preserve">Minst två personer ska alltid ha attesterat en transaktion, varav en av personerna måste vara beslutsattestanten. </w:t>
      </w:r>
    </w:p>
    <w:p w14:paraId="69596392" w14:textId="77777777" w:rsidR="00A21CF9" w:rsidRPr="00A21CF9" w:rsidRDefault="00A21CF9" w:rsidP="00DA2845">
      <w:pPr>
        <w:pStyle w:val="Default"/>
      </w:pPr>
    </w:p>
    <w:p w14:paraId="254DD3AC" w14:textId="77777777" w:rsidR="00DA2845" w:rsidRDefault="00DA2845" w:rsidP="00DA2845">
      <w:pPr>
        <w:pStyle w:val="Default"/>
      </w:pPr>
      <w:r w:rsidRPr="00A21CF9">
        <w:t xml:space="preserve">Vid manuell attest ska behörighetsattest utföras av annan person än beslutsattestanten, vanligtvis sätts dock behörighetsattest automatiskt av systemet. </w:t>
      </w:r>
    </w:p>
    <w:p w14:paraId="35BE3C16" w14:textId="77777777" w:rsidR="00DA2845" w:rsidRPr="00A21CF9" w:rsidRDefault="00DA2845" w:rsidP="00DA2845">
      <w:pPr>
        <w:pStyle w:val="Default"/>
      </w:pPr>
    </w:p>
    <w:p w14:paraId="5E13E039" w14:textId="77777777" w:rsidR="00DA2845" w:rsidRPr="00A21CF9" w:rsidRDefault="00DA2845" w:rsidP="00DA2845">
      <w:pPr>
        <w:pStyle w:val="Default"/>
      </w:pPr>
      <w:r w:rsidRPr="00A21CF9">
        <w:rPr>
          <w:b/>
          <w:bCs/>
        </w:rPr>
        <w:t xml:space="preserve">Konteringsattest </w:t>
      </w:r>
    </w:p>
    <w:p w14:paraId="3B8DC871" w14:textId="77777777" w:rsidR="00DA2845" w:rsidRPr="00A21CF9" w:rsidRDefault="00DA2845" w:rsidP="00DA2845">
      <w:pPr>
        <w:pStyle w:val="Default"/>
      </w:pPr>
      <w:r w:rsidRPr="00A21CF9">
        <w:t>Denna attest innefattar kontroll av nedanstående. Samtliga kontrollsteg ingår dock inte vid samtliga transaktionstyper</w:t>
      </w:r>
      <w:r w:rsidR="00A21CF9">
        <w:t>.</w:t>
      </w:r>
      <w:r w:rsidRPr="00A21CF9">
        <w:t xml:space="preserve"> </w:t>
      </w:r>
    </w:p>
    <w:p w14:paraId="494F79CE" w14:textId="77777777" w:rsidR="00DA2845" w:rsidRPr="00A21CF9" w:rsidRDefault="00DA2845" w:rsidP="00DA2845">
      <w:pPr>
        <w:pStyle w:val="Default"/>
      </w:pPr>
    </w:p>
    <w:p w14:paraId="0900BD1D" w14:textId="77777777" w:rsidR="00DA2845" w:rsidRPr="00A21CF9" w:rsidRDefault="00DA2845" w:rsidP="00DA2845">
      <w:pPr>
        <w:pStyle w:val="Default"/>
      </w:pPr>
      <w:r w:rsidRPr="00A21CF9">
        <w:t xml:space="preserve">Kontering </w:t>
      </w:r>
      <w:r w:rsidRPr="00A21CF9">
        <w:tab/>
      </w:r>
      <w:r w:rsidRPr="00A21CF9">
        <w:tab/>
        <w:t xml:space="preserve">Att konteringen är korrekt. </w:t>
      </w:r>
    </w:p>
    <w:p w14:paraId="7C63BCE0" w14:textId="77777777" w:rsidR="00DA2845" w:rsidRPr="00A21CF9" w:rsidRDefault="00DA2845" w:rsidP="00DA2845">
      <w:pPr>
        <w:pStyle w:val="Default"/>
        <w:ind w:left="2608"/>
      </w:pPr>
      <w:r w:rsidRPr="00A21CF9">
        <w:t xml:space="preserve">Att transaktionen redovisas enligt gällande lagstiftning och interna policys (exempelvis moms och representation). </w:t>
      </w:r>
    </w:p>
    <w:p w14:paraId="1951D82F" w14:textId="77777777" w:rsidR="00DA2845" w:rsidRPr="00A21CF9" w:rsidRDefault="00DA2845" w:rsidP="00DA2845">
      <w:pPr>
        <w:pStyle w:val="Default"/>
        <w:ind w:left="2608"/>
      </w:pPr>
      <w:r w:rsidRPr="00A21CF9">
        <w:t>Att fakturan följer reglerna för fullständig faktura enligt Mervärdesskattelagen (ML)</w:t>
      </w:r>
    </w:p>
    <w:p w14:paraId="73DF51D2" w14:textId="77777777" w:rsidR="00DA2845" w:rsidRPr="00A21CF9" w:rsidRDefault="00DA2845" w:rsidP="00A21CF9">
      <w:pPr>
        <w:pStyle w:val="Default"/>
        <w:ind w:left="2608" w:hanging="2608"/>
      </w:pPr>
      <w:r w:rsidRPr="00A21CF9">
        <w:t>Bokföringstidpunkt</w:t>
      </w:r>
      <w:r w:rsidRPr="00A21CF9">
        <w:tab/>
        <w:t xml:space="preserve">Att bokföring sker vid rätt tidpunkt och i rätt period. </w:t>
      </w:r>
    </w:p>
    <w:p w14:paraId="5952E1D2" w14:textId="77777777" w:rsidR="00DA2845" w:rsidRPr="00A21CF9" w:rsidRDefault="00DA2845" w:rsidP="00DA2845">
      <w:pPr>
        <w:pStyle w:val="Default"/>
      </w:pPr>
      <w:r w:rsidRPr="00A21CF9">
        <w:t xml:space="preserve">Betalningsvillkor </w:t>
      </w:r>
      <w:r w:rsidRPr="00A21CF9">
        <w:tab/>
        <w:t xml:space="preserve">Att föreslaget betaldatum är rätt. </w:t>
      </w:r>
    </w:p>
    <w:p w14:paraId="5BAE0AEE" w14:textId="77777777" w:rsidR="00DA2845" w:rsidRPr="00A21CF9" w:rsidRDefault="00DA2845" w:rsidP="00DA2845">
      <w:pPr>
        <w:pStyle w:val="Default"/>
      </w:pPr>
    </w:p>
    <w:p w14:paraId="3EE63DE7" w14:textId="77777777" w:rsidR="00DA2845" w:rsidRPr="00A21CF9" w:rsidRDefault="00DA2845" w:rsidP="00A21CF9">
      <w:pPr>
        <w:pStyle w:val="Default"/>
        <w:ind w:left="2608" w:hanging="2608"/>
      </w:pPr>
      <w:r w:rsidRPr="00A21CF9">
        <w:t>Prestation</w:t>
      </w:r>
      <w:r w:rsidR="00A21CF9">
        <w:tab/>
      </w:r>
      <w:r w:rsidRPr="00A21CF9">
        <w:t>Att notera och framföra reklamationer om fakturan inte följer</w:t>
      </w:r>
      <w:r w:rsidR="00A21CF9">
        <w:t xml:space="preserve"> </w:t>
      </w:r>
      <w:r w:rsidRPr="00A21CF9">
        <w:t>regler för fullständig faktura.</w:t>
      </w:r>
    </w:p>
    <w:p w14:paraId="21E1A0E9" w14:textId="77777777" w:rsidR="00DA2845" w:rsidRPr="00A21CF9" w:rsidRDefault="00DA2845" w:rsidP="00DA2845">
      <w:pPr>
        <w:pStyle w:val="Default"/>
        <w:rPr>
          <w:b/>
          <w:bCs/>
        </w:rPr>
      </w:pPr>
    </w:p>
    <w:p w14:paraId="67E6C3E3" w14:textId="77777777" w:rsidR="00DA2845" w:rsidRPr="00A21CF9" w:rsidRDefault="00DA2845" w:rsidP="00DA2845">
      <w:pPr>
        <w:pStyle w:val="Default"/>
        <w:rPr>
          <w:b/>
          <w:bCs/>
        </w:rPr>
      </w:pPr>
    </w:p>
    <w:p w14:paraId="1AF5D2FA" w14:textId="77777777" w:rsidR="00DA2845" w:rsidRPr="0083759F" w:rsidRDefault="00DA2845" w:rsidP="00DA2845">
      <w:pPr>
        <w:pStyle w:val="Default"/>
      </w:pPr>
      <w:r w:rsidRPr="0083759F">
        <w:rPr>
          <w:b/>
          <w:bCs/>
        </w:rPr>
        <w:t>Granskningsattest</w:t>
      </w:r>
    </w:p>
    <w:p w14:paraId="63AB8FCB" w14:textId="77777777" w:rsidR="00DA2845" w:rsidRPr="0083759F" w:rsidRDefault="00DA2845" w:rsidP="00DA2845">
      <w:pPr>
        <w:pStyle w:val="Default"/>
      </w:pPr>
      <w:r w:rsidRPr="0083759F">
        <w:t>Denna attest innefattar kontroll av nedanstående. Samtliga kontrollsteg ingår dock inte vid samtliga transaktionstyper. Granskningsattesten är inte beloppsstyrd.</w:t>
      </w:r>
    </w:p>
    <w:p w14:paraId="47B849D2" w14:textId="77777777" w:rsidR="00DA2845" w:rsidRPr="0083759F" w:rsidRDefault="00DA2845" w:rsidP="00DA2845">
      <w:pPr>
        <w:pStyle w:val="Default"/>
        <w:ind w:left="2608" w:hanging="2608"/>
      </w:pPr>
    </w:p>
    <w:p w14:paraId="03F4C66C" w14:textId="77777777" w:rsidR="00DA2845" w:rsidRPr="0083759F" w:rsidRDefault="00DA2845" w:rsidP="00DA2845">
      <w:pPr>
        <w:pStyle w:val="Default"/>
        <w:ind w:left="2608" w:hanging="2608"/>
      </w:pPr>
      <w:r w:rsidRPr="0083759F">
        <w:t xml:space="preserve">Prestation </w:t>
      </w:r>
      <w:r w:rsidRPr="0083759F">
        <w:tab/>
        <w:t xml:space="preserve">Att varan/tjänsten mottagits/utförts enligt överenskommelse/avtal. </w:t>
      </w:r>
    </w:p>
    <w:p w14:paraId="606CDB80" w14:textId="77777777" w:rsidR="00DA2845" w:rsidRPr="0083759F" w:rsidRDefault="00DA2845" w:rsidP="00DA2845">
      <w:pPr>
        <w:pStyle w:val="Default"/>
        <w:ind w:left="2608"/>
      </w:pPr>
      <w:r w:rsidRPr="0083759F">
        <w:t xml:space="preserve">Att kvantitet och kvalitet överensstämmer med beställningen. </w:t>
      </w:r>
    </w:p>
    <w:p w14:paraId="4B2D952A" w14:textId="77777777" w:rsidR="00DA2845" w:rsidRPr="0083759F" w:rsidRDefault="00DA2845" w:rsidP="00DA2845">
      <w:pPr>
        <w:pStyle w:val="Default"/>
        <w:ind w:left="2608"/>
      </w:pPr>
      <w:r w:rsidRPr="0083759F">
        <w:t xml:space="preserve">Att faktura/bokföringsunderlag stämmer med fullgjord leverans eller prestation. </w:t>
      </w:r>
    </w:p>
    <w:p w14:paraId="2EC05A07" w14:textId="77777777" w:rsidR="00DA2845" w:rsidRPr="0083759F" w:rsidRDefault="00DA2845" w:rsidP="00DA2845">
      <w:pPr>
        <w:pStyle w:val="Default"/>
        <w:ind w:left="2608"/>
      </w:pPr>
      <w:r w:rsidRPr="0083759F">
        <w:t xml:space="preserve">Att priset överensstämmer med avtal/order/prislista eller motsvarande. </w:t>
      </w:r>
    </w:p>
    <w:p w14:paraId="244A9C5B" w14:textId="77777777" w:rsidR="00DA2845" w:rsidRPr="0083759F" w:rsidRDefault="00DA2845" w:rsidP="00DA2845">
      <w:pPr>
        <w:pStyle w:val="Default"/>
        <w:ind w:left="2608"/>
      </w:pPr>
      <w:r w:rsidRPr="0083759F">
        <w:t>Att notera och framföra reklamationer, restnoteringar eller andra klagomål till leverantören.</w:t>
      </w:r>
    </w:p>
    <w:p w14:paraId="5D5D126B" w14:textId="77777777" w:rsidR="00DA2845" w:rsidRPr="0083759F" w:rsidRDefault="00DA2845" w:rsidP="00DA2845">
      <w:pPr>
        <w:pStyle w:val="Default"/>
      </w:pPr>
    </w:p>
    <w:p w14:paraId="56987806" w14:textId="77777777" w:rsidR="00DA2845" w:rsidRPr="0083759F" w:rsidRDefault="00DA2845" w:rsidP="00DA2845">
      <w:pPr>
        <w:pStyle w:val="Default"/>
      </w:pPr>
      <w:r w:rsidRPr="0083759F">
        <w:rPr>
          <w:b/>
          <w:bCs/>
        </w:rPr>
        <w:t xml:space="preserve">Beslutsattest </w:t>
      </w:r>
    </w:p>
    <w:p w14:paraId="32416043" w14:textId="77777777" w:rsidR="00DA2845" w:rsidRPr="0083759F" w:rsidRDefault="00DA2845" w:rsidP="00DA2845">
      <w:pPr>
        <w:pStyle w:val="Default"/>
      </w:pPr>
      <w:r w:rsidRPr="0083759F">
        <w:t>Denna attest innefattar kontroll av</w:t>
      </w:r>
      <w:r w:rsidR="00A21CF9" w:rsidRPr="0083759F">
        <w:t xml:space="preserve"> nedanstående.</w:t>
      </w:r>
      <w:r w:rsidRPr="0083759F">
        <w:t xml:space="preserve"> </w:t>
      </w:r>
    </w:p>
    <w:p w14:paraId="1116BB44" w14:textId="77777777" w:rsidR="00DA2845" w:rsidRPr="0083759F" w:rsidRDefault="00DA2845" w:rsidP="00DA2845">
      <w:pPr>
        <w:pStyle w:val="Default"/>
        <w:ind w:left="2608" w:hanging="2608"/>
      </w:pPr>
      <w:r w:rsidRPr="0083759F">
        <w:t xml:space="preserve">Beslut </w:t>
      </w:r>
      <w:r w:rsidRPr="0083759F">
        <w:tab/>
        <w:t xml:space="preserve">Att transaktionen, överensstämmer med fattade beslut och ligger inom ramen för verksamhetsområdet. </w:t>
      </w:r>
    </w:p>
    <w:p w14:paraId="301AD9C6" w14:textId="77777777" w:rsidR="00DA2845" w:rsidRPr="0083759F" w:rsidRDefault="00DA2845" w:rsidP="00DA2845">
      <w:pPr>
        <w:pStyle w:val="Default"/>
        <w:ind w:left="2608"/>
      </w:pPr>
      <w:r w:rsidRPr="0083759F">
        <w:t xml:space="preserve">Att jäv inte förekommer, vad denna kontroll innebär förtydligas i separat rubrik längre ner. </w:t>
      </w:r>
    </w:p>
    <w:p w14:paraId="11215201" w14:textId="77777777" w:rsidR="00DA2845" w:rsidRPr="00A21CF9" w:rsidRDefault="00DA2845" w:rsidP="00DA2845">
      <w:pPr>
        <w:pStyle w:val="Default"/>
        <w:ind w:left="2608"/>
      </w:pPr>
      <w:r w:rsidRPr="0083759F">
        <w:t>Beloppsnivån för beslutsattest sätts utifrån ansvar enligt organisatorisk nivå, förvaltnings- avdelnings- enhet- och gruppchef. Beloppen återfinns i den kommungemensamma tillämpningsanvisningen.</w:t>
      </w:r>
    </w:p>
    <w:p w14:paraId="4653B85F" w14:textId="77777777" w:rsidR="00DA2845" w:rsidRPr="00A21CF9" w:rsidRDefault="00DA2845" w:rsidP="00DA2845">
      <w:pPr>
        <w:pStyle w:val="Default"/>
        <w:ind w:left="2608"/>
      </w:pPr>
    </w:p>
    <w:p w14:paraId="14D4DD58" w14:textId="77777777" w:rsidR="00E86626" w:rsidRPr="00B25560" w:rsidRDefault="0083759F" w:rsidP="00DA2845">
      <w:pPr>
        <w:pStyle w:val="Default"/>
      </w:pPr>
      <w:r w:rsidRPr="00B25560">
        <w:t>Beslutsattestanten är alltid ytterst ansvarig för uppgifternas riktighet oc</w:t>
      </w:r>
      <w:r w:rsidR="009D66CC" w:rsidRPr="00B25560">
        <w:t>h öv</w:t>
      </w:r>
      <w:r w:rsidR="004477ED" w:rsidRPr="00B25560">
        <w:t xml:space="preserve">er att kontrollerna utförts. </w:t>
      </w:r>
    </w:p>
    <w:p w14:paraId="453C41B9" w14:textId="77777777" w:rsidR="0083759F" w:rsidRPr="00E86626" w:rsidRDefault="004477ED" w:rsidP="00DA2845">
      <w:pPr>
        <w:pStyle w:val="Default"/>
        <w:rPr>
          <w:color w:val="auto"/>
        </w:rPr>
      </w:pPr>
      <w:r w:rsidRPr="00B25560">
        <w:t>O</w:t>
      </w:r>
      <w:r w:rsidR="007B3D81" w:rsidRPr="00B25560">
        <w:rPr>
          <w:color w:val="auto"/>
        </w:rPr>
        <w:t xml:space="preserve">m det inte finns en separat granskningsattestant på förvaltningen i </w:t>
      </w:r>
      <w:r w:rsidR="009D66CC" w:rsidRPr="00B25560">
        <w:rPr>
          <w:color w:val="auto"/>
        </w:rPr>
        <w:t>flöde</w:t>
      </w:r>
      <w:r w:rsidR="00E86626" w:rsidRPr="00B25560">
        <w:rPr>
          <w:color w:val="auto"/>
        </w:rPr>
        <w:t>t</w:t>
      </w:r>
      <w:r w:rsidR="009D66CC" w:rsidRPr="00B25560">
        <w:rPr>
          <w:color w:val="auto"/>
        </w:rPr>
        <w:t>, vilket förekommer i kommunen, så är det</w:t>
      </w:r>
      <w:r w:rsidR="00E86626" w:rsidRPr="00B25560">
        <w:rPr>
          <w:color w:val="auto"/>
        </w:rPr>
        <w:t xml:space="preserve"> beslutsattestanten som tar ansvar</w:t>
      </w:r>
      <w:r w:rsidR="009D66CC" w:rsidRPr="00B25560">
        <w:rPr>
          <w:color w:val="auto"/>
        </w:rPr>
        <w:t xml:space="preserve"> f</w:t>
      </w:r>
      <w:r w:rsidR="00E86626" w:rsidRPr="00B25560">
        <w:rPr>
          <w:color w:val="auto"/>
        </w:rPr>
        <w:t>ör dessa kontrollsteg</w:t>
      </w:r>
      <w:r w:rsidR="009D66CC" w:rsidRPr="00B25560">
        <w:rPr>
          <w:color w:val="auto"/>
        </w:rPr>
        <w:t>.</w:t>
      </w:r>
      <w:r w:rsidRPr="00B25560">
        <w:rPr>
          <w:color w:val="auto"/>
        </w:rPr>
        <w:t xml:space="preserve"> </w:t>
      </w:r>
      <w:r w:rsidR="009704AC" w:rsidRPr="00B25560">
        <w:rPr>
          <w:color w:val="auto"/>
        </w:rPr>
        <w:t>Beslutsattestanten ha</w:t>
      </w:r>
      <w:r w:rsidR="00F4698C" w:rsidRPr="00B25560">
        <w:rPr>
          <w:color w:val="auto"/>
        </w:rPr>
        <w:t>r</w:t>
      </w:r>
      <w:r w:rsidR="009704AC" w:rsidRPr="00B25560">
        <w:rPr>
          <w:color w:val="auto"/>
        </w:rPr>
        <w:t xml:space="preserve"> </w:t>
      </w:r>
      <w:r w:rsidR="00E86626" w:rsidRPr="00B25560">
        <w:rPr>
          <w:color w:val="auto"/>
        </w:rPr>
        <w:t xml:space="preserve">då </w:t>
      </w:r>
      <w:r w:rsidRPr="00B25560">
        <w:rPr>
          <w:color w:val="auto"/>
        </w:rPr>
        <w:t>möjlighet att skicka verifikationen till en granskare för extra kontroll innan beslutsattest sker.</w:t>
      </w:r>
      <w:r>
        <w:rPr>
          <w:color w:val="auto"/>
        </w:rPr>
        <w:t xml:space="preserve"> </w:t>
      </w:r>
    </w:p>
    <w:p w14:paraId="33B23E5C" w14:textId="77777777" w:rsidR="00DA2845" w:rsidRPr="00A21CF9" w:rsidRDefault="00DA2845" w:rsidP="00DA2845">
      <w:pPr>
        <w:rPr>
          <w:rFonts w:ascii="Arial" w:hAnsi="Arial" w:cs="Arial"/>
          <w:szCs w:val="24"/>
        </w:rPr>
      </w:pPr>
    </w:p>
    <w:p w14:paraId="580F1554" w14:textId="77777777" w:rsidR="00713749" w:rsidRPr="00A21CF9" w:rsidRDefault="00713749" w:rsidP="00713749">
      <w:pPr>
        <w:rPr>
          <w:rFonts w:ascii="Arial" w:hAnsi="Arial" w:cs="Arial"/>
          <w:szCs w:val="24"/>
        </w:rPr>
      </w:pPr>
    </w:p>
    <w:p w14:paraId="55B22369" w14:textId="77777777" w:rsidR="00DA2845" w:rsidRPr="00A21CF9" w:rsidRDefault="00DA2845" w:rsidP="00713749">
      <w:pPr>
        <w:rPr>
          <w:rFonts w:ascii="Arial" w:hAnsi="Arial" w:cs="Arial"/>
          <w:szCs w:val="24"/>
        </w:rPr>
      </w:pPr>
    </w:p>
    <w:p w14:paraId="2E056290" w14:textId="77777777" w:rsidR="00DA2845" w:rsidRPr="00A21CF9" w:rsidRDefault="00DA2845" w:rsidP="00810C8E">
      <w:pPr>
        <w:pStyle w:val="Rubrik1"/>
        <w:rPr>
          <w:rFonts w:cs="Arial"/>
          <w:sz w:val="24"/>
          <w:szCs w:val="24"/>
        </w:rPr>
      </w:pPr>
      <w:bookmarkStart w:id="4" w:name="_Toc35368935"/>
      <w:r w:rsidRPr="00A21CF9">
        <w:rPr>
          <w:rFonts w:cs="Arial"/>
          <w:sz w:val="24"/>
          <w:szCs w:val="24"/>
        </w:rPr>
        <w:t>Nämndernas och förvaltningarnas ansvar</w:t>
      </w:r>
      <w:bookmarkEnd w:id="4"/>
      <w:r w:rsidRPr="00A21CF9">
        <w:rPr>
          <w:rFonts w:cs="Arial"/>
          <w:sz w:val="24"/>
          <w:szCs w:val="24"/>
        </w:rPr>
        <w:t xml:space="preserve"> </w:t>
      </w:r>
    </w:p>
    <w:p w14:paraId="1FA30BFA" w14:textId="77777777" w:rsidR="00DA2845" w:rsidRDefault="00DA2845" w:rsidP="00DA2845">
      <w:pPr>
        <w:pStyle w:val="Default"/>
      </w:pPr>
      <w:r w:rsidRPr="00A21CF9">
        <w:t xml:space="preserve">Det är nämndernas ansvar att se till att bestämmelserna i dessa riktlinjer följs och att tillämpliga attestmoment utförs. </w:t>
      </w:r>
    </w:p>
    <w:p w14:paraId="4D0F2B3E" w14:textId="77777777" w:rsidR="00A21CF9" w:rsidRPr="00A21CF9" w:rsidRDefault="00A21CF9" w:rsidP="00DA2845">
      <w:pPr>
        <w:pStyle w:val="Default"/>
      </w:pPr>
    </w:p>
    <w:p w14:paraId="59FAD6EB" w14:textId="77777777" w:rsidR="00A21CF9" w:rsidRDefault="00DA2845" w:rsidP="00DA2845">
      <w:pPr>
        <w:pStyle w:val="Default"/>
      </w:pPr>
      <w:r w:rsidRPr="00A21CF9">
        <w:t xml:space="preserve">Den praktiska tillämpningen av attestreglerna för olika typer av transaktioner får varje nämnd avgöra så länge de inte strider mot dessa riktlinjer eller den kommungemensamma tillämpningsanvisningen. </w:t>
      </w:r>
    </w:p>
    <w:p w14:paraId="0713D6B5" w14:textId="77777777" w:rsidR="00A21CF9" w:rsidRDefault="00A21CF9" w:rsidP="00DA2845">
      <w:pPr>
        <w:pStyle w:val="Default"/>
      </w:pPr>
    </w:p>
    <w:p w14:paraId="1F208F5C" w14:textId="77777777" w:rsidR="00DA2845" w:rsidRDefault="00DA2845" w:rsidP="00DA2845">
      <w:pPr>
        <w:pStyle w:val="Default"/>
      </w:pPr>
      <w:r w:rsidRPr="00A21CF9">
        <w:t xml:space="preserve">Vad som är mest lämpligt beror bland annat av vilken typ av transaktion det är fråga om samt hur arbetsfördelning och rutiner är utformade inom nämndens ansvarsområde. </w:t>
      </w:r>
    </w:p>
    <w:p w14:paraId="3F287957" w14:textId="77777777" w:rsidR="00A21CF9" w:rsidRPr="00A21CF9" w:rsidRDefault="00A21CF9" w:rsidP="00DA2845">
      <w:pPr>
        <w:pStyle w:val="Default"/>
      </w:pPr>
    </w:p>
    <w:p w14:paraId="0EC3CBEF" w14:textId="77777777" w:rsidR="00DA2845" w:rsidRDefault="00DA2845" w:rsidP="00DA2845">
      <w:pPr>
        <w:pStyle w:val="Default"/>
      </w:pPr>
      <w:r w:rsidRPr="00A21CF9">
        <w:t xml:space="preserve">Kommunledningsförvaltningen är ansvarig för att upprätthålla den kommungemensamma tillämpningsanvisningen. Varje förvaltning är ansvarig för att upprätthålla tillämpningsanvisningar för de system som används inom deras ansvarsområde och som inte är med i den kommungemensamma tillämpningsanvisningen. </w:t>
      </w:r>
    </w:p>
    <w:p w14:paraId="087354B0" w14:textId="77777777" w:rsidR="00A21CF9" w:rsidRPr="00A21CF9" w:rsidRDefault="00A21CF9" w:rsidP="00DA2845">
      <w:pPr>
        <w:pStyle w:val="Default"/>
      </w:pPr>
    </w:p>
    <w:p w14:paraId="4B8494A4" w14:textId="77777777" w:rsidR="00FF09C7" w:rsidRDefault="00DA2845" w:rsidP="00DA2845">
      <w:pPr>
        <w:pStyle w:val="Default"/>
      </w:pPr>
      <w:r w:rsidRPr="00A21CF9">
        <w:t xml:space="preserve">Attestmomenten är en del i den interna kontrollen och ska utformas så att den interna kontrollen inom nämnderna kan anses vara tillräcklig. Det är viktigt att nämnden förmedlar sina krav på attester till de personer som ska utföra dem och beskriver innebörden av attestansvaret. Attestanterna är var för sig ansvariga för sina respektive åtgärder. Beslutsattestanterna måste alltid vara anställda av kommunen. </w:t>
      </w:r>
    </w:p>
    <w:p w14:paraId="384733F7" w14:textId="77777777" w:rsidR="00DA2845" w:rsidRPr="00A21CF9" w:rsidRDefault="00DA2845" w:rsidP="00DA2845">
      <w:pPr>
        <w:pStyle w:val="Default"/>
      </w:pPr>
      <w:r w:rsidRPr="00474076">
        <w:t>Det normala är att även granskningsattestanterna är anställda av kommunen. Externa granskningsattestanter får förekomma i de fall de är anlitade av kommunen att utföra uppdrag i kommunens verksamhet. Externa granskningsattestanter får dock aldrig attestera fakturor från den organisation där de är anställda.</w:t>
      </w:r>
      <w:r w:rsidRPr="00A21CF9">
        <w:t xml:space="preserve"> </w:t>
      </w:r>
      <w:r w:rsidR="00FF09C7">
        <w:t xml:space="preserve"> </w:t>
      </w:r>
    </w:p>
    <w:p w14:paraId="1EA16326" w14:textId="77777777" w:rsidR="00DA2845" w:rsidRPr="00A21CF9" w:rsidRDefault="00DA2845" w:rsidP="00DA2845">
      <w:pPr>
        <w:pStyle w:val="Default"/>
      </w:pPr>
    </w:p>
    <w:p w14:paraId="3065692B" w14:textId="77777777" w:rsidR="00DA2845" w:rsidRPr="00A21CF9" w:rsidRDefault="00DA2845" w:rsidP="00DA2845">
      <w:pPr>
        <w:pStyle w:val="Default"/>
      </w:pPr>
    </w:p>
    <w:p w14:paraId="3D807196" w14:textId="77777777" w:rsidR="00DA2845" w:rsidRPr="00A21CF9" w:rsidRDefault="00DA2845" w:rsidP="00810C8E">
      <w:pPr>
        <w:pStyle w:val="Rubrik1"/>
        <w:rPr>
          <w:rFonts w:cs="Arial"/>
          <w:sz w:val="24"/>
          <w:szCs w:val="24"/>
        </w:rPr>
      </w:pPr>
      <w:bookmarkStart w:id="5" w:name="_Toc35368936"/>
      <w:r w:rsidRPr="00A21CF9">
        <w:rPr>
          <w:rFonts w:cs="Arial"/>
          <w:sz w:val="24"/>
          <w:szCs w:val="24"/>
        </w:rPr>
        <w:t>Attestantuppdrag</w:t>
      </w:r>
      <w:bookmarkEnd w:id="5"/>
      <w:r w:rsidRPr="00A21CF9">
        <w:rPr>
          <w:rFonts w:cs="Arial"/>
          <w:sz w:val="24"/>
          <w:szCs w:val="24"/>
        </w:rPr>
        <w:t xml:space="preserve"> </w:t>
      </w:r>
    </w:p>
    <w:p w14:paraId="03924E9A" w14:textId="77777777" w:rsidR="00A21CF9" w:rsidRDefault="00DA2845" w:rsidP="00DA2845">
      <w:pPr>
        <w:pStyle w:val="Default"/>
      </w:pPr>
      <w:r w:rsidRPr="00A21CF9">
        <w:t xml:space="preserve">Nämnden ansvarar för att en aktuell förteckning över utsedda beslutsattestanter upprätthålls och finns tillgänglig. För övriga attesttyper krävs ingen förteckning. Det ska av förteckningen framgå när förändringar gjorts. Av attestförteckningen ska tydligt framgå vilka personer som har beslutsattesträtt och hur beslutsattesträtten är kopplad till </w:t>
      </w:r>
      <w:r w:rsidR="00A21CF9">
        <w:t xml:space="preserve">den ekonomiska </w:t>
      </w:r>
      <w:r w:rsidRPr="00A21CF9">
        <w:t xml:space="preserve">kodplanen. </w:t>
      </w:r>
    </w:p>
    <w:p w14:paraId="1EDE2BE2" w14:textId="77777777" w:rsidR="00A21CF9" w:rsidRDefault="00A21CF9" w:rsidP="00DA2845">
      <w:pPr>
        <w:pStyle w:val="Default"/>
      </w:pPr>
    </w:p>
    <w:p w14:paraId="4C4650F2" w14:textId="77777777" w:rsidR="00DA2845" w:rsidRDefault="00DA2845" w:rsidP="00DA2845">
      <w:pPr>
        <w:pStyle w:val="Default"/>
      </w:pPr>
      <w:r w:rsidRPr="00A21CF9">
        <w:t>Den som utser beslutsattestanter nämnd/ordförande/för</w:t>
      </w:r>
      <w:r w:rsidR="00A21CF9">
        <w:t>valtningschef eller motsvarande,</w:t>
      </w:r>
      <w:r w:rsidRPr="00A21CF9">
        <w:t xml:space="preserve"> ska besluta förteckningen och ändringar av denna. Om pappersbaserade beslutsattester används ska namnteckningsprov bifogas till attestförteckningen. </w:t>
      </w:r>
    </w:p>
    <w:p w14:paraId="409C3792" w14:textId="77777777" w:rsidR="00A21CF9" w:rsidRPr="00A21CF9" w:rsidRDefault="00A21CF9" w:rsidP="00DA2845">
      <w:pPr>
        <w:pStyle w:val="Default"/>
      </w:pPr>
    </w:p>
    <w:p w14:paraId="440CA5D8" w14:textId="77777777" w:rsidR="00DA2845" w:rsidRDefault="00DA2845" w:rsidP="00DA2845">
      <w:pPr>
        <w:pStyle w:val="Default"/>
      </w:pPr>
      <w:r w:rsidRPr="00A21CF9">
        <w:t>Nämnd ska fatta särskilt beslut om detta för varje kalenderår. Det är lämpligt att utse även nämndens ordförande till beslutsattestant. Ordförande kan då se till och fullgöra kommunens betalnings</w:t>
      </w:r>
      <w:r w:rsidR="00A21CF9">
        <w:softHyphen/>
      </w:r>
      <w:r w:rsidRPr="00A21CF9">
        <w:t xml:space="preserve">skyldigheter när övriga beslutsattestanter är förhindrade. </w:t>
      </w:r>
    </w:p>
    <w:p w14:paraId="34432616" w14:textId="77777777" w:rsidR="00FF5050" w:rsidRPr="00A21CF9" w:rsidRDefault="00FF5050" w:rsidP="00DA2845">
      <w:pPr>
        <w:pStyle w:val="Default"/>
      </w:pPr>
    </w:p>
    <w:p w14:paraId="0F18F2EF" w14:textId="77777777" w:rsidR="00FF09C7" w:rsidRPr="00B25560" w:rsidRDefault="00DA2845" w:rsidP="00DA2845">
      <w:pPr>
        <w:pStyle w:val="Default"/>
      </w:pPr>
      <w:r w:rsidRPr="00A21CF9">
        <w:t xml:space="preserve">Fördelningen av olika attestmoment ska vara en naturlig följd av den ansvars- och arbetsfördelning som </w:t>
      </w:r>
      <w:r w:rsidR="00FF09C7">
        <w:t xml:space="preserve">gäller. Beslutsattest ska </w:t>
      </w:r>
      <w:r w:rsidRPr="00A21CF9">
        <w:t xml:space="preserve">utföras </w:t>
      </w:r>
      <w:r w:rsidRPr="00B25560">
        <w:t xml:space="preserve">av överordnad person för att undvika beroendeförhållanden. </w:t>
      </w:r>
    </w:p>
    <w:p w14:paraId="4B2C859A" w14:textId="77777777" w:rsidR="00FF09C7" w:rsidRPr="00B25560" w:rsidRDefault="00FF09C7" w:rsidP="00DA2845">
      <w:pPr>
        <w:pStyle w:val="Default"/>
      </w:pPr>
    </w:p>
    <w:p w14:paraId="060E496E" w14:textId="77777777" w:rsidR="00DA2845" w:rsidRPr="00B25560" w:rsidRDefault="00DA2845" w:rsidP="00DA2845">
      <w:pPr>
        <w:pStyle w:val="Default"/>
      </w:pPr>
      <w:r w:rsidRPr="00B25560">
        <w:t xml:space="preserve">Beslutsattestanten ska alltid ha en god överblick och kunskap om det den </w:t>
      </w:r>
      <w:proofErr w:type="spellStart"/>
      <w:r w:rsidRPr="00B25560">
        <w:t>beslutsattesterar</w:t>
      </w:r>
      <w:proofErr w:type="spellEnd"/>
      <w:r w:rsidRPr="00B25560">
        <w:t xml:space="preserve">. Ansvaret ska vara odelat och beslutsattestuppdragen ska vara personliga. </w:t>
      </w:r>
    </w:p>
    <w:p w14:paraId="6D23A453" w14:textId="77777777" w:rsidR="00DA2845" w:rsidRPr="00B25560" w:rsidRDefault="00DA2845" w:rsidP="00DA2845">
      <w:pPr>
        <w:pStyle w:val="Default"/>
      </w:pPr>
    </w:p>
    <w:p w14:paraId="0B63FA2B" w14:textId="77777777" w:rsidR="001F3151" w:rsidRPr="00B25560" w:rsidRDefault="00AC0FD5" w:rsidP="00DA2845">
      <w:pPr>
        <w:pStyle w:val="Default"/>
      </w:pPr>
      <w:r w:rsidRPr="00B25560">
        <w:t>Chefen</w:t>
      </w:r>
      <w:r w:rsidR="00DA2845" w:rsidRPr="00B25560">
        <w:t xml:space="preserve"> har alltid yttersta ansvaret f</w:t>
      </w:r>
      <w:r w:rsidR="00AD5544" w:rsidRPr="00B25560">
        <w:t xml:space="preserve">ör verksamheten. Det måste </w:t>
      </w:r>
      <w:r w:rsidR="00DA2845" w:rsidRPr="00B25560">
        <w:t>vara chefen</w:t>
      </w:r>
      <w:r w:rsidRPr="00B25560">
        <w:t xml:space="preserve"> och/eller budgetansvarig som </w:t>
      </w:r>
      <w:proofErr w:type="spellStart"/>
      <w:r w:rsidRPr="00B25560">
        <w:t>beslutsattesterar</w:t>
      </w:r>
      <w:proofErr w:type="spellEnd"/>
      <w:r w:rsidR="00DA2845" w:rsidRPr="00B25560">
        <w:t>. Om denna arbetsuppgift utförs felaktigt har chefen det yttersta ansvaret, precis som vid vilken arbetsuppgift som helst.</w:t>
      </w:r>
    </w:p>
    <w:p w14:paraId="1580FA66" w14:textId="77777777" w:rsidR="00A21CF9" w:rsidRPr="00B25560" w:rsidRDefault="00A21CF9" w:rsidP="00DA2845">
      <w:pPr>
        <w:pStyle w:val="Default"/>
      </w:pPr>
    </w:p>
    <w:p w14:paraId="1012C611" w14:textId="77777777" w:rsidR="00DA2845" w:rsidRPr="00A21CF9" w:rsidRDefault="00DA2845" w:rsidP="00DA2845">
      <w:pPr>
        <w:pStyle w:val="Default"/>
      </w:pPr>
      <w:r w:rsidRPr="00B25560">
        <w:t>Ersättare är en person som tillfälligt har rätt att beslutsattestera när ordinarie beslutsattestant inte är i tjänst (semester, tjänstledig, sjuk eller liknande)</w:t>
      </w:r>
      <w:r w:rsidR="009D66CC" w:rsidRPr="00B25560">
        <w:t xml:space="preserve">, </w:t>
      </w:r>
      <w:r w:rsidR="00CB45B8" w:rsidRPr="00B25560">
        <w:t>b</w:t>
      </w:r>
      <w:r w:rsidR="00612486" w:rsidRPr="00B25560">
        <w:t xml:space="preserve">ara </w:t>
      </w:r>
      <w:r w:rsidR="00CB45B8" w:rsidRPr="00B25560">
        <w:t xml:space="preserve">annan chef och/eller </w:t>
      </w:r>
      <w:r w:rsidR="00612486" w:rsidRPr="00B25560">
        <w:t>budgetansvarig</w:t>
      </w:r>
      <w:r w:rsidR="00AD5544" w:rsidRPr="00B25560">
        <w:t xml:space="preserve"> kan</w:t>
      </w:r>
      <w:r w:rsidR="008F6DED" w:rsidRPr="00B25560">
        <w:t xml:space="preserve"> vara ersättare</w:t>
      </w:r>
      <w:r w:rsidR="00AD5544" w:rsidRPr="00B25560">
        <w:t>.</w:t>
      </w:r>
    </w:p>
    <w:p w14:paraId="3B4537B1" w14:textId="77777777" w:rsidR="00DA2845" w:rsidRPr="00A21CF9" w:rsidRDefault="00DA2845" w:rsidP="00713749">
      <w:pPr>
        <w:rPr>
          <w:rFonts w:ascii="Arial" w:hAnsi="Arial" w:cs="Arial"/>
          <w:szCs w:val="24"/>
        </w:rPr>
      </w:pPr>
    </w:p>
    <w:p w14:paraId="69766002" w14:textId="77777777" w:rsidR="00DA2845" w:rsidRPr="00A21CF9" w:rsidRDefault="00DA2845" w:rsidP="00810C8E">
      <w:pPr>
        <w:pStyle w:val="Rubrik1"/>
        <w:rPr>
          <w:rFonts w:cs="Arial"/>
          <w:sz w:val="24"/>
          <w:szCs w:val="24"/>
        </w:rPr>
      </w:pPr>
      <w:bookmarkStart w:id="6" w:name="_Toc35368937"/>
      <w:r w:rsidRPr="00A21CF9">
        <w:rPr>
          <w:rFonts w:cs="Arial"/>
          <w:sz w:val="24"/>
          <w:szCs w:val="24"/>
        </w:rPr>
        <w:t>Jäv</w:t>
      </w:r>
      <w:bookmarkEnd w:id="6"/>
      <w:r w:rsidRPr="00A21CF9">
        <w:rPr>
          <w:rFonts w:cs="Arial"/>
          <w:sz w:val="24"/>
          <w:szCs w:val="24"/>
        </w:rPr>
        <w:t xml:space="preserve"> </w:t>
      </w:r>
    </w:p>
    <w:p w14:paraId="7D4E1D57" w14:textId="77777777" w:rsidR="00DA2845" w:rsidRPr="00A21CF9" w:rsidRDefault="00DA2845" w:rsidP="00DA2845">
      <w:pPr>
        <w:pStyle w:val="Default"/>
      </w:pPr>
      <w:r w:rsidRPr="00A21CF9">
        <w:t>Beslutsattest får inte utföras av den som är betalningsmottagare. Du får inte heller beslut</w:t>
      </w:r>
      <w:r w:rsidR="00A21CF9">
        <w:t>s</w:t>
      </w:r>
      <w:r w:rsidRPr="00A21CF9">
        <w:t xml:space="preserve">attestera egna utgifter i tjänsten. </w:t>
      </w:r>
    </w:p>
    <w:p w14:paraId="38C89309" w14:textId="77777777" w:rsidR="00DA2845" w:rsidRPr="00A21CF9" w:rsidRDefault="00DA2845" w:rsidP="00DA2845">
      <w:pPr>
        <w:pStyle w:val="Default"/>
      </w:pPr>
      <w:r w:rsidRPr="00A21CF9">
        <w:t xml:space="preserve">Beslutsattestanten får inte stå i beroendeförhållande eller vara närstående till betalningsmottagaren eller den utgiften berör. Detta innefattar också transaktioner med bolag och föreningar där den anställde eller närstående har ägarintressen eller ingår i ledningen. Undantaget från denna regel är om transaktionerna gäller av kommunens helägda bolag. </w:t>
      </w:r>
    </w:p>
    <w:p w14:paraId="01BD80A3" w14:textId="77777777" w:rsidR="00DA2845" w:rsidRPr="00A21CF9" w:rsidRDefault="00DA2845" w:rsidP="00DA2845">
      <w:pPr>
        <w:pStyle w:val="Default"/>
      </w:pPr>
    </w:p>
    <w:p w14:paraId="5DFCA1D0" w14:textId="77777777" w:rsidR="00DA2845" w:rsidRPr="00A21CF9" w:rsidRDefault="00DA2845" w:rsidP="00DA2845">
      <w:pPr>
        <w:pStyle w:val="Default"/>
      </w:pPr>
      <w:r w:rsidRPr="00A21CF9">
        <w:t>I situationer där jäv förekommer ska beslutsattest tecknas av överordnad.</w:t>
      </w:r>
    </w:p>
    <w:p w14:paraId="3FD89609" w14:textId="77777777" w:rsidR="00DA2845" w:rsidRPr="00A21CF9" w:rsidRDefault="00DA2845" w:rsidP="00713749">
      <w:pPr>
        <w:rPr>
          <w:rFonts w:ascii="Arial" w:hAnsi="Arial" w:cs="Arial"/>
          <w:szCs w:val="24"/>
        </w:rPr>
      </w:pPr>
    </w:p>
    <w:sectPr w:rsidR="00DA2845" w:rsidRPr="00A21CF9" w:rsidSect="00323AAD">
      <w:headerReference w:type="default" r:id="rId7"/>
      <w:footerReference w:type="default" r:id="rId8"/>
      <w:headerReference w:type="first" r:id="rId9"/>
      <w:type w:val="continuous"/>
      <w:pgSz w:w="11906" w:h="16838" w:code="9"/>
      <w:pgMar w:top="1667" w:right="2268" w:bottom="1418"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CC5C8" w14:textId="77777777" w:rsidR="00DA2845" w:rsidRDefault="00DA2845" w:rsidP="00422D1E">
      <w:pPr>
        <w:spacing w:after="0" w:line="240" w:lineRule="auto"/>
      </w:pPr>
      <w:r>
        <w:separator/>
      </w:r>
    </w:p>
  </w:endnote>
  <w:endnote w:type="continuationSeparator" w:id="0">
    <w:p w14:paraId="15EC1112" w14:textId="77777777" w:rsidR="00DA2845" w:rsidRDefault="00DA2845" w:rsidP="00422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468849"/>
      <w:docPartObj>
        <w:docPartGallery w:val="Page Numbers (Bottom of Page)"/>
        <w:docPartUnique/>
      </w:docPartObj>
    </w:sdtPr>
    <w:sdtEndPr>
      <w:rPr>
        <w:sz w:val="20"/>
      </w:rPr>
    </w:sdtEndPr>
    <w:sdtContent>
      <w:p w14:paraId="020ACFC5" w14:textId="77777777" w:rsidR="00B331DE" w:rsidRDefault="00B331DE">
        <w:pPr>
          <w:pStyle w:val="Sidfot"/>
          <w:jc w:val="center"/>
          <w:rPr>
            <w:sz w:val="20"/>
          </w:rPr>
        </w:pPr>
        <w:r w:rsidRPr="00B331DE">
          <w:rPr>
            <w:sz w:val="20"/>
          </w:rPr>
          <w:fldChar w:fldCharType="begin"/>
        </w:r>
        <w:r w:rsidRPr="00B331DE">
          <w:rPr>
            <w:sz w:val="20"/>
          </w:rPr>
          <w:instrText>PAGE   \* MERGEFORMAT</w:instrText>
        </w:r>
        <w:r w:rsidRPr="00B331DE">
          <w:rPr>
            <w:sz w:val="20"/>
          </w:rPr>
          <w:fldChar w:fldCharType="separate"/>
        </w:r>
        <w:r w:rsidR="00AD5544">
          <w:rPr>
            <w:noProof/>
            <w:sz w:val="20"/>
          </w:rPr>
          <w:t>8</w:t>
        </w:r>
        <w:r w:rsidRPr="00B331DE">
          <w:rPr>
            <w:sz w:val="20"/>
          </w:rPr>
          <w:fldChar w:fldCharType="end"/>
        </w:r>
      </w:p>
      <w:p w14:paraId="73D16F56" w14:textId="77777777" w:rsidR="00B331DE" w:rsidRDefault="00B331DE">
        <w:pPr>
          <w:pStyle w:val="Sidfot"/>
          <w:jc w:val="center"/>
          <w:rPr>
            <w:sz w:val="20"/>
          </w:rPr>
        </w:pPr>
      </w:p>
      <w:p w14:paraId="44A92DFB" w14:textId="77777777" w:rsidR="00B331DE" w:rsidRDefault="00B331DE" w:rsidP="00B331DE">
        <w:pPr>
          <w:pStyle w:val="Sidfot"/>
          <w:tabs>
            <w:tab w:val="clear" w:pos="9072"/>
            <w:tab w:val="left" w:pos="851"/>
            <w:tab w:val="left" w:pos="2977"/>
            <w:tab w:val="left" w:pos="4536"/>
            <w:tab w:val="left" w:pos="8505"/>
          </w:tabs>
          <w:ind w:left="-1134"/>
          <w:rPr>
            <w:rFonts w:ascii="Arial" w:hAnsi="Arial" w:cs="Arial"/>
            <w:sz w:val="18"/>
          </w:rPr>
        </w:pPr>
        <w:r w:rsidRPr="00436B8A">
          <w:rPr>
            <w:rFonts w:ascii="Arial" w:hAnsi="Arial" w:cs="Arial"/>
            <w:noProof/>
            <w:sz w:val="18"/>
            <w:lang w:eastAsia="sv-SE"/>
          </w:rPr>
          <mc:AlternateContent>
            <mc:Choice Requires="wps">
              <w:drawing>
                <wp:anchor distT="0" distB="0" distL="114300" distR="114300" simplePos="0" relativeHeight="251664384" behindDoc="0" locked="0" layoutInCell="1" allowOverlap="1" wp14:anchorId="3736D25A" wp14:editId="4D308E54">
                  <wp:simplePos x="0" y="0"/>
                  <wp:positionH relativeFrom="column">
                    <wp:posOffset>-814182</wp:posOffset>
                  </wp:positionH>
                  <wp:positionV relativeFrom="paragraph">
                    <wp:posOffset>-65405</wp:posOffset>
                  </wp:positionV>
                  <wp:extent cx="6346825" cy="0"/>
                  <wp:effectExtent l="0" t="0" r="15875" b="19050"/>
                  <wp:wrapNone/>
                  <wp:docPr id="5" name="Rak 5"/>
                  <wp:cNvGraphicFramePr/>
                  <a:graphic xmlns:a="http://schemas.openxmlformats.org/drawingml/2006/main">
                    <a:graphicData uri="http://schemas.microsoft.com/office/word/2010/wordprocessingShape">
                      <wps:wsp>
                        <wps:cNvCnPr/>
                        <wps:spPr>
                          <a:xfrm>
                            <a:off x="0" y="0"/>
                            <a:ext cx="634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6887AE" id="Rak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pt,-5.15pt" to="435.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" strokecolor="black [3213]"/>
              </w:pict>
            </mc:Fallback>
          </mc:AlternateContent>
        </w:r>
        <w:r w:rsidRPr="00436B8A">
          <w:rPr>
            <w:rFonts w:ascii="Arial" w:hAnsi="Arial" w:cs="Arial"/>
            <w:sz w:val="18"/>
          </w:rPr>
          <w:t>Postadress</w:t>
        </w:r>
        <w:r w:rsidRPr="00436B8A">
          <w:rPr>
            <w:rFonts w:ascii="Arial" w:hAnsi="Arial" w:cs="Arial"/>
            <w:sz w:val="18"/>
          </w:rPr>
          <w:tab/>
          <w:t>Besöksadress</w:t>
        </w:r>
        <w:r w:rsidRPr="00436B8A">
          <w:rPr>
            <w:rFonts w:ascii="Arial" w:hAnsi="Arial" w:cs="Arial"/>
            <w:sz w:val="18"/>
          </w:rPr>
          <w:tab/>
        </w:r>
        <w:r>
          <w:rPr>
            <w:rFonts w:ascii="Arial" w:hAnsi="Arial" w:cs="Arial"/>
            <w:sz w:val="18"/>
          </w:rPr>
          <w:t>Telefon</w:t>
        </w:r>
        <w:r>
          <w:rPr>
            <w:rFonts w:ascii="Arial" w:hAnsi="Arial" w:cs="Arial"/>
            <w:sz w:val="18"/>
          </w:rPr>
          <w:tab/>
          <w:t>e-post</w:t>
        </w:r>
      </w:p>
      <w:p w14:paraId="2955CAC8" w14:textId="77777777" w:rsidR="00B331DE" w:rsidRPr="00B331DE" w:rsidRDefault="00B331DE" w:rsidP="00B331DE">
        <w:pPr>
          <w:pStyle w:val="Sidfot"/>
          <w:tabs>
            <w:tab w:val="clear" w:pos="9072"/>
            <w:tab w:val="left" w:pos="851"/>
            <w:tab w:val="left" w:pos="2977"/>
            <w:tab w:val="left" w:pos="4536"/>
            <w:tab w:val="left" w:pos="8505"/>
          </w:tabs>
          <w:ind w:left="-1134"/>
          <w:rPr>
            <w:rFonts w:ascii="Arial" w:hAnsi="Arial" w:cs="Arial"/>
            <w:sz w:val="18"/>
          </w:rPr>
        </w:pPr>
        <w:r w:rsidRPr="00436B8A">
          <w:rPr>
            <w:rFonts w:ascii="Arial" w:hAnsi="Arial" w:cs="Arial"/>
            <w:sz w:val="18"/>
          </w:rPr>
          <w:t>371 83 Karlskrona</w:t>
        </w:r>
        <w:r w:rsidRPr="00436B8A">
          <w:rPr>
            <w:rFonts w:ascii="Arial" w:hAnsi="Arial" w:cs="Arial"/>
            <w:sz w:val="18"/>
          </w:rPr>
          <w:tab/>
          <w:t>Ö</w:t>
        </w:r>
        <w:r>
          <w:rPr>
            <w:rFonts w:ascii="Arial" w:hAnsi="Arial" w:cs="Arial"/>
            <w:sz w:val="18"/>
          </w:rPr>
          <w:t>stra Hamngatan 7B</w:t>
        </w:r>
        <w:r>
          <w:rPr>
            <w:rFonts w:ascii="Arial" w:hAnsi="Arial" w:cs="Arial"/>
            <w:sz w:val="18"/>
          </w:rPr>
          <w:tab/>
          <w:t>0455 30 30 00</w:t>
        </w:r>
        <w:r>
          <w:rPr>
            <w:rFonts w:ascii="Arial" w:hAnsi="Arial" w:cs="Arial"/>
            <w:sz w:val="18"/>
          </w:rPr>
          <w:tab/>
        </w:r>
        <w:r w:rsidRPr="00B331DE">
          <w:rPr>
            <w:rFonts w:ascii="Arial" w:hAnsi="Arial" w:cs="Arial"/>
            <w:sz w:val="18"/>
          </w:rPr>
          <w:t>karlskrona.kommun@karlskrona.se</w:t>
        </w:r>
      </w:p>
    </w:sdtContent>
  </w:sdt>
  <w:p w14:paraId="5B5110E7" w14:textId="77777777" w:rsidR="00792ED6" w:rsidRPr="00436B8A" w:rsidRDefault="00792ED6" w:rsidP="00B331DE">
    <w:pPr>
      <w:pStyle w:val="Sidfot"/>
      <w:tabs>
        <w:tab w:val="clear" w:pos="9072"/>
        <w:tab w:val="left" w:pos="851"/>
        <w:tab w:val="left" w:pos="2977"/>
        <w:tab w:val="left" w:pos="4536"/>
        <w:tab w:val="left" w:pos="8505"/>
      </w:tabs>
      <w:ind w:left="-1134"/>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0B035" w14:textId="77777777" w:rsidR="00DA2845" w:rsidRDefault="00DA2845" w:rsidP="00422D1E">
      <w:pPr>
        <w:spacing w:after="0" w:line="240" w:lineRule="auto"/>
      </w:pPr>
      <w:r>
        <w:separator/>
      </w:r>
    </w:p>
  </w:footnote>
  <w:footnote w:type="continuationSeparator" w:id="0">
    <w:p w14:paraId="28B85152" w14:textId="77777777" w:rsidR="00DA2845" w:rsidRDefault="00DA2845" w:rsidP="00422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C4AC" w14:textId="77777777" w:rsidR="00792ED6" w:rsidRDefault="00380613">
    <w:pPr>
      <w:pStyle w:val="Sidhuvud"/>
    </w:pPr>
    <w:r>
      <w:rPr>
        <w:noProof/>
        <w:lang w:eastAsia="sv-SE"/>
      </w:rPr>
      <w:drawing>
        <wp:anchor distT="0" distB="0" distL="114300" distR="114300" simplePos="0" relativeHeight="251660288" behindDoc="1" locked="0" layoutInCell="1" allowOverlap="1" wp14:anchorId="21AAAE06" wp14:editId="2BE2CF48">
          <wp:simplePos x="0" y="0"/>
          <wp:positionH relativeFrom="column">
            <wp:posOffset>-800735</wp:posOffset>
          </wp:positionH>
          <wp:positionV relativeFrom="paragraph">
            <wp:posOffset>-50165</wp:posOffset>
          </wp:positionV>
          <wp:extent cx="1859280" cy="470535"/>
          <wp:effectExtent l="0" t="0" r="7620" b="5715"/>
          <wp:wrapTight wrapText="bothSides">
            <wp:wrapPolygon edited="0">
              <wp:start x="0" y="0"/>
              <wp:lineTo x="0" y="20988"/>
              <wp:lineTo x="21467" y="20988"/>
              <wp:lineTo x="2146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0D87" w14:textId="77777777" w:rsidR="00792ED6" w:rsidRDefault="00380613">
    <w:pPr>
      <w:pStyle w:val="Sidhuvud"/>
    </w:pPr>
    <w:r>
      <w:rPr>
        <w:noProof/>
        <w:lang w:eastAsia="sv-SE"/>
      </w:rPr>
      <w:drawing>
        <wp:anchor distT="0" distB="0" distL="114300" distR="114300" simplePos="0" relativeHeight="251662336" behindDoc="1" locked="0" layoutInCell="1" allowOverlap="1" wp14:anchorId="5AD0F8DE" wp14:editId="1DE83A03">
          <wp:simplePos x="0" y="0"/>
          <wp:positionH relativeFrom="column">
            <wp:posOffset>-800100</wp:posOffset>
          </wp:positionH>
          <wp:positionV relativeFrom="paragraph">
            <wp:posOffset>-60960</wp:posOffset>
          </wp:positionV>
          <wp:extent cx="1911985" cy="483870"/>
          <wp:effectExtent l="0" t="0" r="0" b="0"/>
          <wp:wrapTight wrapText="bothSides">
            <wp:wrapPolygon edited="0">
              <wp:start x="0" y="0"/>
              <wp:lineTo x="0" y="20409"/>
              <wp:lineTo x="21306" y="20409"/>
              <wp:lineTo x="21306"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985" cy="4838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LockTheme/>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45"/>
    <w:rsid w:val="000420EB"/>
    <w:rsid w:val="000766E7"/>
    <w:rsid w:val="000F3EF6"/>
    <w:rsid w:val="001149F3"/>
    <w:rsid w:val="0013485E"/>
    <w:rsid w:val="001A18C3"/>
    <w:rsid w:val="001C0ADA"/>
    <w:rsid w:val="001D24F0"/>
    <w:rsid w:val="001F3151"/>
    <w:rsid w:val="00223D02"/>
    <w:rsid w:val="00232666"/>
    <w:rsid w:val="00265447"/>
    <w:rsid w:val="00323AAD"/>
    <w:rsid w:val="00340F8D"/>
    <w:rsid w:val="00353CA2"/>
    <w:rsid w:val="00380613"/>
    <w:rsid w:val="00381082"/>
    <w:rsid w:val="00393084"/>
    <w:rsid w:val="00422D1E"/>
    <w:rsid w:val="00436B8A"/>
    <w:rsid w:val="004477ED"/>
    <w:rsid w:val="00461759"/>
    <w:rsid w:val="00474076"/>
    <w:rsid w:val="00477BA2"/>
    <w:rsid w:val="004F01C6"/>
    <w:rsid w:val="005144A4"/>
    <w:rsid w:val="0054515A"/>
    <w:rsid w:val="005838F9"/>
    <w:rsid w:val="00595BE2"/>
    <w:rsid w:val="005E4DC5"/>
    <w:rsid w:val="0061125C"/>
    <w:rsid w:val="00612486"/>
    <w:rsid w:val="00627F07"/>
    <w:rsid w:val="006324AC"/>
    <w:rsid w:val="00652331"/>
    <w:rsid w:val="00661A2F"/>
    <w:rsid w:val="00713749"/>
    <w:rsid w:val="00733526"/>
    <w:rsid w:val="00792ED6"/>
    <w:rsid w:val="007A2017"/>
    <w:rsid w:val="007B3D81"/>
    <w:rsid w:val="007B651D"/>
    <w:rsid w:val="007C5AAE"/>
    <w:rsid w:val="007D1D28"/>
    <w:rsid w:val="007E7260"/>
    <w:rsid w:val="007F0F8E"/>
    <w:rsid w:val="007F64C7"/>
    <w:rsid w:val="00807C31"/>
    <w:rsid w:val="00810C8E"/>
    <w:rsid w:val="0083759F"/>
    <w:rsid w:val="00861D8C"/>
    <w:rsid w:val="008D6DD0"/>
    <w:rsid w:val="008E4130"/>
    <w:rsid w:val="008F6DED"/>
    <w:rsid w:val="00907737"/>
    <w:rsid w:val="009253FD"/>
    <w:rsid w:val="00943DA9"/>
    <w:rsid w:val="0095085C"/>
    <w:rsid w:val="00951CB3"/>
    <w:rsid w:val="009704AC"/>
    <w:rsid w:val="009C3A16"/>
    <w:rsid w:val="009D66CC"/>
    <w:rsid w:val="00A07F5F"/>
    <w:rsid w:val="00A21CF9"/>
    <w:rsid w:val="00A41CC5"/>
    <w:rsid w:val="00A46563"/>
    <w:rsid w:val="00A54724"/>
    <w:rsid w:val="00A565BA"/>
    <w:rsid w:val="00AB7AD9"/>
    <w:rsid w:val="00AC0FD5"/>
    <w:rsid w:val="00AD5544"/>
    <w:rsid w:val="00AE47DF"/>
    <w:rsid w:val="00AF37FB"/>
    <w:rsid w:val="00B07BE1"/>
    <w:rsid w:val="00B25560"/>
    <w:rsid w:val="00B331DE"/>
    <w:rsid w:val="00B4780C"/>
    <w:rsid w:val="00B64D86"/>
    <w:rsid w:val="00B76EA0"/>
    <w:rsid w:val="00C05594"/>
    <w:rsid w:val="00C27FBF"/>
    <w:rsid w:val="00C30B60"/>
    <w:rsid w:val="00C83284"/>
    <w:rsid w:val="00CB45B8"/>
    <w:rsid w:val="00CB4E1B"/>
    <w:rsid w:val="00CC6634"/>
    <w:rsid w:val="00CE3561"/>
    <w:rsid w:val="00D11FAD"/>
    <w:rsid w:val="00D241BE"/>
    <w:rsid w:val="00D516C8"/>
    <w:rsid w:val="00D74CBC"/>
    <w:rsid w:val="00D75AB6"/>
    <w:rsid w:val="00DA2845"/>
    <w:rsid w:val="00DD4636"/>
    <w:rsid w:val="00DE2427"/>
    <w:rsid w:val="00DE5308"/>
    <w:rsid w:val="00DF384C"/>
    <w:rsid w:val="00E5054B"/>
    <w:rsid w:val="00E506BD"/>
    <w:rsid w:val="00E65C14"/>
    <w:rsid w:val="00E86626"/>
    <w:rsid w:val="00E93480"/>
    <w:rsid w:val="00F03EB6"/>
    <w:rsid w:val="00F1376A"/>
    <w:rsid w:val="00F45067"/>
    <w:rsid w:val="00F4698C"/>
    <w:rsid w:val="00F479A7"/>
    <w:rsid w:val="00FB4198"/>
    <w:rsid w:val="00FF09C7"/>
    <w:rsid w:val="00FF5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920EE2"/>
  <w15:docId w15:val="{E767F331-6085-4213-AE5D-67C9A519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66"/>
    <w:rPr>
      <w:rFonts w:ascii="Times New Roman" w:eastAsia="Calibri" w:hAnsi="Times New Roman" w:cs="Times New Roman"/>
      <w:sz w:val="24"/>
    </w:rPr>
  </w:style>
  <w:style w:type="paragraph" w:styleId="Rubrik1">
    <w:name w:val="heading 1"/>
    <w:basedOn w:val="Normal"/>
    <w:next w:val="Normal"/>
    <w:link w:val="Rubrik1Char"/>
    <w:uiPriority w:val="9"/>
    <w:qFormat/>
    <w:rsid w:val="00733526"/>
    <w:pPr>
      <w:keepNext/>
      <w:keepLines/>
      <w:pageBreakBefore/>
      <w:spacing w:before="480" w:after="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951CB3"/>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951CB3"/>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22D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22D1E"/>
    <w:rPr>
      <w:rFonts w:ascii="Tahoma" w:eastAsia="Calibri" w:hAnsi="Tahoma" w:cs="Tahoma"/>
      <w:sz w:val="16"/>
      <w:szCs w:val="16"/>
    </w:rPr>
  </w:style>
  <w:style w:type="paragraph" w:styleId="Sidhuvud">
    <w:name w:val="header"/>
    <w:basedOn w:val="Normal"/>
    <w:link w:val="SidhuvudChar"/>
    <w:uiPriority w:val="99"/>
    <w:unhideWhenUsed/>
    <w:rsid w:val="00422D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2D1E"/>
    <w:rPr>
      <w:rFonts w:ascii="Calibri" w:eastAsia="Calibri" w:hAnsi="Calibri" w:cs="Times New Roman"/>
    </w:rPr>
  </w:style>
  <w:style w:type="paragraph" w:styleId="Sidfot">
    <w:name w:val="footer"/>
    <w:basedOn w:val="Normal"/>
    <w:link w:val="SidfotChar"/>
    <w:uiPriority w:val="99"/>
    <w:unhideWhenUsed/>
    <w:rsid w:val="00422D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2D1E"/>
    <w:rPr>
      <w:rFonts w:ascii="Calibri" w:eastAsia="Calibri" w:hAnsi="Calibri" w:cs="Times New Roman"/>
    </w:rPr>
  </w:style>
  <w:style w:type="character" w:styleId="Platshllartext">
    <w:name w:val="Placeholder Text"/>
    <w:basedOn w:val="Standardstycketeckensnitt"/>
    <w:uiPriority w:val="99"/>
    <w:semiHidden/>
    <w:rsid w:val="00DE5308"/>
    <w:rPr>
      <w:color w:val="808080"/>
    </w:rPr>
  </w:style>
  <w:style w:type="character" w:styleId="Hyperlnk">
    <w:name w:val="Hyperlink"/>
    <w:basedOn w:val="Standardstycketeckensnitt"/>
    <w:uiPriority w:val="99"/>
    <w:unhideWhenUsed/>
    <w:rsid w:val="00436B8A"/>
    <w:rPr>
      <w:color w:val="0000FF" w:themeColor="hyperlink"/>
      <w:u w:val="single"/>
    </w:rPr>
  </w:style>
  <w:style w:type="character" w:customStyle="1" w:styleId="Rubrik1Char">
    <w:name w:val="Rubrik 1 Char"/>
    <w:basedOn w:val="Standardstycketeckensnitt"/>
    <w:link w:val="Rubrik1"/>
    <w:uiPriority w:val="9"/>
    <w:rsid w:val="00733526"/>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951CB3"/>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951CB3"/>
    <w:rPr>
      <w:rFonts w:ascii="Arial" w:eastAsiaTheme="majorEastAsia" w:hAnsi="Arial" w:cstheme="majorBidi"/>
      <w:b/>
      <w:bCs/>
      <w:sz w:val="24"/>
    </w:rPr>
  </w:style>
  <w:style w:type="paragraph" w:styleId="Ingetavstnd">
    <w:name w:val="No Spacing"/>
    <w:link w:val="IngetavstndChar"/>
    <w:uiPriority w:val="1"/>
    <w:qFormat/>
    <w:rsid w:val="00661A2F"/>
    <w:pPr>
      <w:spacing w:after="0" w:line="240" w:lineRule="auto"/>
    </w:pPr>
    <w:rPr>
      <w:rFonts w:ascii="Times New Roman" w:eastAsia="Calibri" w:hAnsi="Times New Roman" w:cs="Times New Roman"/>
      <w:sz w:val="24"/>
    </w:rPr>
  </w:style>
  <w:style w:type="table" w:styleId="Tabellrutnt">
    <w:name w:val="Table Grid"/>
    <w:basedOn w:val="Normaltabell"/>
    <w:uiPriority w:val="59"/>
    <w:rsid w:val="0066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F03EB6"/>
    <w:pPr>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F03EB6"/>
    <w:pPr>
      <w:spacing w:after="100"/>
    </w:pPr>
    <w:rPr>
      <w:rFonts w:ascii="Arial" w:hAnsi="Arial"/>
    </w:rPr>
  </w:style>
  <w:style w:type="paragraph" w:styleId="Innehll2">
    <w:name w:val="toc 2"/>
    <w:basedOn w:val="Normal"/>
    <w:next w:val="Normal"/>
    <w:autoRedefine/>
    <w:uiPriority w:val="39"/>
    <w:unhideWhenUsed/>
    <w:rsid w:val="00F03EB6"/>
    <w:pPr>
      <w:spacing w:after="100"/>
      <w:ind w:left="240"/>
    </w:pPr>
    <w:rPr>
      <w:rFonts w:ascii="Arial" w:hAnsi="Arial"/>
    </w:rPr>
  </w:style>
  <w:style w:type="paragraph" w:styleId="Innehll3">
    <w:name w:val="toc 3"/>
    <w:basedOn w:val="Normal"/>
    <w:next w:val="Normal"/>
    <w:autoRedefine/>
    <w:uiPriority w:val="39"/>
    <w:unhideWhenUsed/>
    <w:rsid w:val="00F03EB6"/>
    <w:pPr>
      <w:spacing w:after="100"/>
      <w:ind w:left="480"/>
    </w:pPr>
    <w:rPr>
      <w:rFonts w:ascii="Arial" w:hAnsi="Arial"/>
    </w:rPr>
  </w:style>
  <w:style w:type="character" w:customStyle="1" w:styleId="IngetavstndChar">
    <w:name w:val="Inget avstånd Char"/>
    <w:basedOn w:val="Standardstycketeckensnitt"/>
    <w:link w:val="Ingetavstnd"/>
    <w:uiPriority w:val="1"/>
    <w:rsid w:val="00323AAD"/>
    <w:rPr>
      <w:rFonts w:ascii="Times New Roman" w:eastAsia="Calibri" w:hAnsi="Times New Roman" w:cs="Times New Roman"/>
      <w:sz w:val="24"/>
    </w:rPr>
  </w:style>
  <w:style w:type="paragraph" w:customStyle="1" w:styleId="Namnpdokumentet">
    <w:name w:val="Namn på dokumentet"/>
    <w:basedOn w:val="Normal"/>
    <w:link w:val="NamnpdokumentetChar"/>
    <w:autoRedefine/>
    <w:qFormat/>
    <w:rsid w:val="007F64C7"/>
    <w:pPr>
      <w:spacing w:before="240" w:after="480"/>
      <w:jc w:val="center"/>
    </w:pPr>
    <w:rPr>
      <w:rFonts w:ascii="Verdana" w:hAnsi="Verdana"/>
      <w:noProof/>
      <w:spacing w:val="8"/>
      <w:sz w:val="48"/>
    </w:rPr>
  </w:style>
  <w:style w:type="character" w:customStyle="1" w:styleId="NamnpdokumentetChar">
    <w:name w:val="Namn på dokumentet Char"/>
    <w:basedOn w:val="Standardstycketeckensnitt"/>
    <w:link w:val="Namnpdokumentet"/>
    <w:rsid w:val="007F64C7"/>
    <w:rPr>
      <w:rFonts w:ascii="Verdana" w:eastAsia="Calibri" w:hAnsi="Verdana" w:cs="Times New Roman"/>
      <w:noProof/>
      <w:spacing w:val="8"/>
      <w:sz w:val="48"/>
    </w:rPr>
  </w:style>
  <w:style w:type="character" w:styleId="Kommentarsreferens">
    <w:name w:val="annotation reference"/>
    <w:basedOn w:val="Standardstycketeckensnitt"/>
    <w:uiPriority w:val="99"/>
    <w:semiHidden/>
    <w:unhideWhenUsed/>
    <w:rsid w:val="00713749"/>
    <w:rPr>
      <w:sz w:val="16"/>
      <w:szCs w:val="16"/>
    </w:rPr>
  </w:style>
  <w:style w:type="paragraph" w:styleId="Kommentarer">
    <w:name w:val="annotation text"/>
    <w:basedOn w:val="Normal"/>
    <w:link w:val="KommentarerChar"/>
    <w:uiPriority w:val="99"/>
    <w:semiHidden/>
    <w:unhideWhenUsed/>
    <w:rsid w:val="00713749"/>
    <w:pPr>
      <w:spacing w:line="240" w:lineRule="auto"/>
    </w:pPr>
    <w:rPr>
      <w:sz w:val="20"/>
      <w:szCs w:val="20"/>
    </w:rPr>
  </w:style>
  <w:style w:type="character" w:customStyle="1" w:styleId="KommentarerChar">
    <w:name w:val="Kommentarer Char"/>
    <w:basedOn w:val="Standardstycketeckensnitt"/>
    <w:link w:val="Kommentarer"/>
    <w:uiPriority w:val="99"/>
    <w:semiHidden/>
    <w:rsid w:val="00713749"/>
    <w:rPr>
      <w:rFonts w:ascii="Times New Roman" w:eastAsia="Calibri" w:hAnsi="Times New Roman" w:cs="Times New Roman"/>
      <w:sz w:val="20"/>
      <w:szCs w:val="20"/>
    </w:rPr>
  </w:style>
  <w:style w:type="paragraph" w:customStyle="1" w:styleId="Default">
    <w:name w:val="Default"/>
    <w:rsid w:val="00DA28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MHMD01\shared\gem\Informationsenheten\Dokumentmallar\Karlskrona%20kommuns%20mallar\Mallar%20f&#246;r%20styrande%20dokument\Mall%20f&#246;r%20riktlinj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A4AA-64FF-417E-83C1-47A9F5A6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riktlinjer</Template>
  <TotalTime>3</TotalTime>
  <Pages>9</Pages>
  <Words>1239</Words>
  <Characters>8227</Characters>
  <Application>Microsoft Office Word</Application>
  <DocSecurity>4</DocSecurity>
  <Lines>433</Lines>
  <Paragraphs>270</Paragraphs>
  <ScaleCrop>false</ScaleCrop>
  <HeadingPairs>
    <vt:vector size="2" baseType="variant">
      <vt:variant>
        <vt:lpstr>Rubrik</vt:lpstr>
      </vt:variant>
      <vt:variant>
        <vt:i4>1</vt:i4>
      </vt:variant>
    </vt:vector>
  </HeadingPairs>
  <TitlesOfParts>
    <vt:vector size="1" baseType="lpstr">
      <vt:lpstr>Policy</vt:lpstr>
    </vt:vector>
  </TitlesOfParts>
  <Company>Karlskrona Kommun</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Miriam Törnström Håbring</dc:creator>
  <cp:lastModifiedBy>Martin Håkansson</cp:lastModifiedBy>
  <cp:revision>2</cp:revision>
  <dcterms:created xsi:type="dcterms:W3CDTF">2021-05-11T08:34:00Z</dcterms:created>
  <dcterms:modified xsi:type="dcterms:W3CDTF">2021-05-11T08:34:00Z</dcterms:modified>
</cp:coreProperties>
</file>